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3957576C" w:rsidR="002D778B" w:rsidRDefault="005406B4">
            <w:pPr>
              <w:pStyle w:val="TableParagraph"/>
              <w:spacing w:before="120" w:line="276" w:lineRule="auto"/>
              <w:ind w:left="108" w:right="92"/>
              <w:jc w:val="both"/>
            </w:pPr>
            <w:r>
              <w:t>Pembangunan Kapasiti</w:t>
            </w:r>
            <w:r w:rsidR="009D183F">
              <w:t xml:space="preserve"> MyMUDAH bersama Kerajaan Negeri Sarawak</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584E2DD0" w:rsidR="00EB0FBD" w:rsidRDefault="005062A3">
            <w:pPr>
              <w:pStyle w:val="TableParagraph"/>
              <w:spacing w:before="146"/>
              <w:ind w:left="108"/>
            </w:pPr>
            <w:r>
              <w:t>Februari – Mei 2024</w:t>
            </w:r>
          </w:p>
        </w:tc>
      </w:tr>
      <w:tr w:rsidR="002D778B" w14:paraId="6C3F76B7" w14:textId="77777777" w:rsidTr="006F4B48">
        <w:trPr>
          <w:trHeight w:val="3122"/>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015E59D8" w14:textId="54003DF3" w:rsidR="00C75E74" w:rsidRDefault="00C75E74" w:rsidP="00C75E74">
            <w:pPr>
              <w:pStyle w:val="TableParagraph"/>
              <w:numPr>
                <w:ilvl w:val="0"/>
                <w:numId w:val="13"/>
              </w:numPr>
              <w:tabs>
                <w:tab w:val="left" w:pos="829"/>
              </w:tabs>
              <w:ind w:right="90"/>
              <w:jc w:val="both"/>
            </w:pPr>
            <w:r>
              <w:t>Mesyuarat EAC pada 24 November 2021 telah bersetuju dengan penubuhan Unit MyMudah di semua Kementerian, agensi Kerajaan, Kerajaan Negeri dan Pihak Berkuasa Tempatan (PBT) serta persatuan peniagaan bagi membantu semakan peraturan secara terancang dan mengurangkan beban peraturan yang tidak wajar terhadap perniagaan.</w:t>
            </w:r>
          </w:p>
          <w:p w14:paraId="17C9F545" w14:textId="3C458FDE" w:rsidR="00C75E74" w:rsidRDefault="008305ED" w:rsidP="00C75E74">
            <w:pPr>
              <w:pStyle w:val="TableParagraph"/>
              <w:numPr>
                <w:ilvl w:val="0"/>
                <w:numId w:val="13"/>
              </w:numPr>
              <w:tabs>
                <w:tab w:val="left" w:pos="829"/>
              </w:tabs>
              <w:ind w:right="90"/>
              <w:jc w:val="both"/>
            </w:pPr>
            <w:r>
              <w:t xml:space="preserve">MPC Wilayah Sarawak telah mengadakan beberapa sesi libat urus bersama </w:t>
            </w:r>
            <w:r w:rsidR="007817BD">
              <w:t xml:space="preserve">dengan </w:t>
            </w:r>
            <w:r w:rsidR="007817BD" w:rsidRPr="007817BD">
              <w:t>Unit Transformasi dan Inovasi Sarawak</w:t>
            </w:r>
            <w:r w:rsidR="00680B3C">
              <w:t xml:space="preserve"> (STIU), Jabatan Premier Sarawak dan Unit Peran</w:t>
            </w:r>
            <w:r w:rsidR="00130FD0">
              <w:t xml:space="preserve">cang Ekonomi Sarawak (EPU) bagi mendapatkan komitmen kerajaan negeri Sarawak bagi pelaksanaan inisiatif MyMUDAH secara menyeluruh di </w:t>
            </w:r>
            <w:r w:rsidR="00E53992">
              <w:t>negeri ini.</w:t>
            </w:r>
          </w:p>
          <w:p w14:paraId="6FF1AD73" w14:textId="4A6B6493" w:rsidR="00BB21D7" w:rsidRDefault="00BB21D7" w:rsidP="00C75E74">
            <w:pPr>
              <w:pStyle w:val="TableParagraph"/>
              <w:numPr>
                <w:ilvl w:val="0"/>
                <w:numId w:val="13"/>
              </w:numPr>
              <w:tabs>
                <w:tab w:val="left" w:pos="829"/>
              </w:tabs>
              <w:ind w:right="90"/>
              <w:jc w:val="both"/>
            </w:pPr>
            <w:r>
              <w:t xml:space="preserve">Kerajaan Sarawak telah menubuhkan </w:t>
            </w:r>
            <w:r w:rsidRPr="00BB21D7">
              <w:t>Pasukan Petugas Khas Pemudahcara Perniagaan Peringkat Negeri Sarawak</w:t>
            </w:r>
            <w:r>
              <w:t xml:space="preserve"> (SAMUDAH)  pada </w:t>
            </w:r>
            <w:r w:rsidR="007C57DA">
              <w:t>24 Jun 2011</w:t>
            </w:r>
            <w:r w:rsidR="00753A1F">
              <w:t xml:space="preserve"> bertujuan untuk memudahcara perniagaak. Semasa awal penubuhannya, SAMUDAH memberi tumpuan kepada isu-isu yang tidak memerlukan pindaan peratura</w:t>
            </w:r>
            <w:r w:rsidR="008467DA">
              <w:t>n seperti meningkatkan kecekapan proses pengeluaran permit dan e-pembayaran.</w:t>
            </w:r>
          </w:p>
          <w:p w14:paraId="3EF8ED97" w14:textId="77777777" w:rsidR="00AF04A5" w:rsidRDefault="00BB21D7" w:rsidP="00A54C82">
            <w:pPr>
              <w:pStyle w:val="TableParagraph"/>
              <w:numPr>
                <w:ilvl w:val="0"/>
                <w:numId w:val="13"/>
              </w:numPr>
              <w:tabs>
                <w:tab w:val="left" w:pos="829"/>
              </w:tabs>
              <w:ind w:right="90"/>
              <w:jc w:val="both"/>
            </w:pPr>
            <w:r>
              <w:t xml:space="preserve">Bagi memantapkan peranan SAMUDAH, </w:t>
            </w:r>
            <w:r w:rsidRPr="00BB21D7">
              <w:t>MPC Wilayah Sarawak</w:t>
            </w:r>
            <w:r>
              <w:t xml:space="preserve"> </w:t>
            </w:r>
            <w:r w:rsidR="00294700">
              <w:t xml:space="preserve"> </w:t>
            </w:r>
            <w:r>
              <w:t xml:space="preserve">bersama EPU Sarawak dan STIU akan merangka dan </w:t>
            </w:r>
            <w:r w:rsidR="00294700">
              <w:t xml:space="preserve">memastikan </w:t>
            </w:r>
            <w:r w:rsidR="00647945">
              <w:t xml:space="preserve">insiatif MyMUDAH digunapakai secara meluas dalam </w:t>
            </w:r>
            <w:r w:rsidR="00462597">
              <w:t>memudahkan persekitaran perniagaan di Sarawak.</w:t>
            </w:r>
            <w:r w:rsidR="00A54C82">
              <w:t xml:space="preserve"> Inisiatif ini seterusnya dapat </w:t>
            </w:r>
            <w:r w:rsidR="00AF04A5">
              <w:t xml:space="preserve">menjadikan </w:t>
            </w:r>
            <w:r w:rsidR="00A54C82">
              <w:t xml:space="preserve">Sarawak </w:t>
            </w:r>
            <w:r w:rsidR="00AF04A5">
              <w:t xml:space="preserve">terus </w:t>
            </w:r>
            <w:r w:rsidR="00A54C82">
              <w:t>produktif</w:t>
            </w:r>
            <w:r w:rsidR="00AF04A5">
              <w:t xml:space="preserve"> dan berdaya</w:t>
            </w:r>
            <w:r w:rsidR="00A54C82">
              <w:t xml:space="preserve"> saing. </w:t>
            </w:r>
          </w:p>
          <w:p w14:paraId="68A3BABB" w14:textId="7F7A5BA5" w:rsidR="00DA68BF" w:rsidRDefault="00DA68BF" w:rsidP="00A54C82">
            <w:pPr>
              <w:pStyle w:val="TableParagraph"/>
              <w:numPr>
                <w:ilvl w:val="0"/>
                <w:numId w:val="13"/>
              </w:numPr>
              <w:tabs>
                <w:tab w:val="left" w:pos="829"/>
              </w:tabs>
              <w:ind w:right="90"/>
              <w:jc w:val="both"/>
            </w:pPr>
            <w:r>
              <w:t>Dalam mesyuarat SAMUDAH Bil.2/2023 yang telah diadakan pada 5 Disember 2023, sistem MyMudah akan digunakan sebagai tanda aras dalam menambahbaik proses menguruskan isu dan kekangan peraturan di Sarawak. Oleh itu, program pembangunan kapasiti ini dapat membantu menambahbaik proses penyelesaian sedia ada agar lebih sistematik dan berkesan.</w:t>
            </w:r>
          </w:p>
        </w:tc>
      </w:tr>
      <w:tr w:rsidR="002D778B" w14:paraId="681E61B3" w14:textId="77777777" w:rsidTr="00D07806">
        <w:trPr>
          <w:trHeight w:val="2131"/>
        </w:trPr>
        <w:tc>
          <w:tcPr>
            <w:tcW w:w="4227" w:type="dxa"/>
          </w:tcPr>
          <w:p w14:paraId="59BA4211" w14:textId="77777777" w:rsidR="002D778B" w:rsidRDefault="009F6752">
            <w:pPr>
              <w:pStyle w:val="TableParagraph"/>
              <w:spacing w:before="130"/>
              <w:ind w:left="107"/>
              <w:rPr>
                <w:rFonts w:ascii="Arial"/>
                <w:b/>
                <w:sz w:val="24"/>
              </w:rPr>
            </w:pPr>
            <w:r>
              <w:rPr>
                <w:rFonts w:ascii="Arial"/>
                <w:b/>
                <w:sz w:val="24"/>
              </w:rPr>
              <w:lastRenderedPageBreak/>
              <w:t>JUSTIFIKASI</w:t>
            </w:r>
          </w:p>
          <w:p w14:paraId="59855C1E" w14:textId="77777777" w:rsidR="002D778B" w:rsidRDefault="009F6752">
            <w:pPr>
              <w:pStyle w:val="TableParagraph"/>
              <w:spacing w:before="161" w:line="276" w:lineRule="auto"/>
              <w:ind w:left="107" w:right="549"/>
              <w:rPr>
                <w:sz w:val="16"/>
              </w:rPr>
            </w:pPr>
            <w:r>
              <w:rPr>
                <w:color w:val="2E5395"/>
                <w:sz w:val="16"/>
              </w:rPr>
              <w:t>Keterangan: Penjelasan yang menyokong kepada</w:t>
            </w:r>
            <w:r>
              <w:rPr>
                <w:color w:val="2E5395"/>
                <w:spacing w:val="-42"/>
                <w:sz w:val="16"/>
              </w:rPr>
              <w:t xml:space="preserve"> </w:t>
            </w:r>
            <w:r>
              <w:rPr>
                <w:color w:val="2E5395"/>
                <w:sz w:val="16"/>
              </w:rPr>
              <w:t>pelaksanaan</w:t>
            </w:r>
            <w:r>
              <w:rPr>
                <w:color w:val="2E5395"/>
                <w:spacing w:val="-1"/>
                <w:sz w:val="16"/>
              </w:rPr>
              <w:t xml:space="preserve"> </w:t>
            </w:r>
            <w:r>
              <w:rPr>
                <w:color w:val="2E5395"/>
                <w:sz w:val="16"/>
              </w:rPr>
              <w:t>projek/</w:t>
            </w:r>
            <w:r>
              <w:rPr>
                <w:color w:val="2E5395"/>
                <w:spacing w:val="-1"/>
                <w:sz w:val="16"/>
              </w:rPr>
              <w:t xml:space="preserve"> </w:t>
            </w:r>
            <w:r>
              <w:rPr>
                <w:color w:val="2E5395"/>
                <w:sz w:val="16"/>
              </w:rPr>
              <w:t>cadangan</w:t>
            </w:r>
          </w:p>
        </w:tc>
        <w:tc>
          <w:tcPr>
            <w:tcW w:w="5669" w:type="dxa"/>
          </w:tcPr>
          <w:p w14:paraId="12555C76" w14:textId="72409BB1" w:rsidR="00236027" w:rsidRDefault="00236027" w:rsidP="00236027">
            <w:pPr>
              <w:pStyle w:val="TableParagraph"/>
              <w:numPr>
                <w:ilvl w:val="0"/>
                <w:numId w:val="27"/>
              </w:numPr>
              <w:spacing w:before="52"/>
              <w:ind w:right="90"/>
              <w:jc w:val="both"/>
              <w:rPr>
                <w:spacing w:val="-1"/>
              </w:rPr>
            </w:pPr>
            <w:r>
              <w:rPr>
                <w:spacing w:val="-1"/>
              </w:rPr>
              <w:t xml:space="preserve">Menambahbaik proses penyelesaian </w:t>
            </w:r>
            <w:r w:rsidR="00155AAD">
              <w:rPr>
                <w:spacing w:val="-1"/>
              </w:rPr>
              <w:t>masalah kekangan peraturan sedia ada dengan integrasi metodologi MyMUDAH</w:t>
            </w:r>
          </w:p>
          <w:p w14:paraId="6C2BD1D9" w14:textId="33082264" w:rsidR="002D778B" w:rsidRPr="00FF7445" w:rsidRDefault="00FF7445" w:rsidP="00FF7445">
            <w:pPr>
              <w:pStyle w:val="TableParagraph"/>
              <w:numPr>
                <w:ilvl w:val="0"/>
                <w:numId w:val="27"/>
              </w:numPr>
              <w:spacing w:before="52"/>
              <w:ind w:right="90"/>
              <w:jc w:val="both"/>
              <w:rPr>
                <w:spacing w:val="-1"/>
              </w:rPr>
            </w:pPr>
            <w:r>
              <w:rPr>
                <w:spacing w:val="-1"/>
              </w:rPr>
              <w:t>Mengalakkan kolaborasi strategik sektor awam dan swasta dalam menambahbaik persekitaran perniagaan di negeri Sarawak</w:t>
            </w:r>
            <w:r w:rsidR="007F0252">
              <w:t xml:space="preserve"> </w:t>
            </w: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35291121" w14:textId="77777777" w:rsidR="005D2815" w:rsidRDefault="0015472C" w:rsidP="00773FAB">
            <w:pPr>
              <w:pStyle w:val="TableParagraph"/>
              <w:spacing w:before="52"/>
              <w:ind w:right="90"/>
              <w:rPr>
                <w:spacing w:val="-1"/>
              </w:rPr>
            </w:pPr>
            <w:r>
              <w:rPr>
                <w:spacing w:val="-1"/>
              </w:rPr>
              <w:t xml:space="preserve">Pembangunan kapasiti </w:t>
            </w:r>
            <w:r w:rsidR="002F229F">
              <w:rPr>
                <w:spacing w:val="-1"/>
              </w:rPr>
              <w:t xml:space="preserve">MyMUDAH </w:t>
            </w:r>
            <w:r>
              <w:rPr>
                <w:spacing w:val="-1"/>
              </w:rPr>
              <w:t>pegawai-pegawai kerajaan negeri</w:t>
            </w:r>
          </w:p>
          <w:p w14:paraId="3B3871FA" w14:textId="57424018" w:rsidR="002F229F" w:rsidRDefault="002F229F" w:rsidP="00773FAB">
            <w:pPr>
              <w:pStyle w:val="TableParagraph"/>
              <w:spacing w:before="52"/>
              <w:ind w:left="468" w:right="90"/>
              <w:rPr>
                <w:spacing w:val="-1"/>
              </w:rPr>
            </w:pPr>
          </w:p>
        </w:tc>
      </w:tr>
      <w:tr w:rsidR="002D778B" w14:paraId="4D87CC49" w14:textId="77777777">
        <w:trPr>
          <w:trHeight w:val="1693"/>
        </w:trPr>
        <w:tc>
          <w:tcPr>
            <w:tcW w:w="4227" w:type="dxa"/>
          </w:tcPr>
          <w:p w14:paraId="4EDBCE10" w14:textId="77777777" w:rsidR="002D778B" w:rsidRDefault="009F6752">
            <w:pPr>
              <w:pStyle w:val="TableParagraph"/>
              <w:spacing w:before="154" w:line="276" w:lineRule="auto"/>
              <w:ind w:left="107" w:right="1223"/>
              <w:rPr>
                <w:rFonts w:ascii="Arial"/>
                <w:b/>
                <w:sz w:val="24"/>
              </w:rPr>
            </w:pPr>
            <w:r>
              <w:rPr>
                <w:rFonts w:ascii="Arial"/>
                <w:b/>
                <w:i/>
                <w:sz w:val="24"/>
              </w:rPr>
              <w:t>STAKEHOLDERS</w:t>
            </w:r>
            <w:r>
              <w:rPr>
                <w:rFonts w:ascii="Arial"/>
                <w:b/>
                <w:sz w:val="24"/>
              </w:rPr>
              <w:t>/ PIHAK</w:t>
            </w:r>
            <w:r>
              <w:rPr>
                <w:rFonts w:ascii="Arial"/>
                <w:b/>
                <w:spacing w:val="-65"/>
                <w:sz w:val="24"/>
              </w:rPr>
              <w:t xml:space="preserve"> </w:t>
            </w:r>
            <w:r>
              <w:rPr>
                <w:rFonts w:ascii="Arial"/>
                <w:b/>
                <w:sz w:val="24"/>
              </w:rPr>
              <w:t>BERKEPENTINGAN</w:t>
            </w:r>
          </w:p>
          <w:p w14:paraId="617D1127" w14:textId="77777777" w:rsidR="002D778B" w:rsidRDefault="009F6752">
            <w:pPr>
              <w:pStyle w:val="TableParagraph"/>
              <w:spacing w:before="119" w:line="276" w:lineRule="auto"/>
              <w:ind w:left="107" w:right="425"/>
              <w:rPr>
                <w:sz w:val="16"/>
              </w:rPr>
            </w:pPr>
            <w:r>
              <w:rPr>
                <w:color w:val="2E5395"/>
                <w:sz w:val="16"/>
              </w:rPr>
              <w:t>Keterangan: Pihak atau kumpulan yang menerima</w:t>
            </w:r>
            <w:r>
              <w:rPr>
                <w:color w:val="2E5395"/>
                <w:spacing w:val="1"/>
                <w:sz w:val="16"/>
              </w:rPr>
              <w:t xml:space="preserve"> </w:t>
            </w:r>
            <w:r>
              <w:rPr>
                <w:color w:val="2E5395"/>
                <w:sz w:val="16"/>
              </w:rPr>
              <w:t>kesan positif mahupun negatif daripada projek yang</w:t>
            </w:r>
            <w:r>
              <w:rPr>
                <w:color w:val="2E5395"/>
                <w:spacing w:val="-42"/>
                <w:sz w:val="16"/>
              </w:rPr>
              <w:t xml:space="preserve"> </w:t>
            </w:r>
            <w:r>
              <w:rPr>
                <w:color w:val="2E5395"/>
                <w:sz w:val="16"/>
              </w:rPr>
              <w:t>dijalankan</w:t>
            </w:r>
          </w:p>
        </w:tc>
        <w:tc>
          <w:tcPr>
            <w:tcW w:w="5669" w:type="dxa"/>
          </w:tcPr>
          <w:p w14:paraId="78DE0CC2" w14:textId="557D49A8" w:rsidR="00190EEF" w:rsidRDefault="00190EEF" w:rsidP="00682485">
            <w:pPr>
              <w:pStyle w:val="TableParagraph"/>
              <w:numPr>
                <w:ilvl w:val="0"/>
                <w:numId w:val="16"/>
              </w:numPr>
              <w:tabs>
                <w:tab w:val="left" w:pos="360"/>
              </w:tabs>
              <w:spacing w:before="38"/>
              <w:ind w:left="889" w:hanging="567"/>
            </w:pPr>
            <w:r>
              <w:t>Kerajaan Negeri Sarawak</w:t>
            </w:r>
          </w:p>
          <w:p w14:paraId="34872044" w14:textId="4AF3E0B2" w:rsidR="00190EEF" w:rsidRDefault="00190EEF" w:rsidP="00682485">
            <w:pPr>
              <w:pStyle w:val="TableParagraph"/>
              <w:numPr>
                <w:ilvl w:val="0"/>
                <w:numId w:val="16"/>
              </w:numPr>
              <w:tabs>
                <w:tab w:val="left" w:pos="360"/>
              </w:tabs>
              <w:spacing w:before="38"/>
              <w:ind w:left="889" w:hanging="567"/>
            </w:pPr>
            <w:r>
              <w:t xml:space="preserve">Agensi </w:t>
            </w:r>
            <w:r w:rsidR="008637AC">
              <w:t>persekutuan</w:t>
            </w:r>
          </w:p>
          <w:p w14:paraId="5E403442" w14:textId="19F1C366" w:rsidR="008637AC" w:rsidRDefault="008637AC" w:rsidP="00682485">
            <w:pPr>
              <w:pStyle w:val="TableParagraph"/>
              <w:numPr>
                <w:ilvl w:val="0"/>
                <w:numId w:val="16"/>
              </w:numPr>
              <w:tabs>
                <w:tab w:val="left" w:pos="360"/>
              </w:tabs>
              <w:spacing w:before="38"/>
              <w:ind w:left="889" w:hanging="567"/>
            </w:pPr>
            <w:r>
              <w:t>Pihak Berkuasa Tempatan</w:t>
            </w:r>
          </w:p>
          <w:p w14:paraId="2099F63A" w14:textId="0164FE6A" w:rsidR="00272B42" w:rsidRDefault="008637AC" w:rsidP="008637AC">
            <w:pPr>
              <w:pStyle w:val="TableParagraph"/>
              <w:numPr>
                <w:ilvl w:val="0"/>
                <w:numId w:val="16"/>
              </w:numPr>
              <w:tabs>
                <w:tab w:val="left" w:pos="360"/>
              </w:tabs>
              <w:spacing w:before="38"/>
              <w:ind w:left="889" w:hanging="567"/>
            </w:pPr>
            <w:r>
              <w:t>Komuniti Perniagaan</w:t>
            </w:r>
          </w:p>
        </w:tc>
      </w:tr>
      <w:tr w:rsidR="002D778B" w14:paraId="32BE6BF1" w14:textId="77777777" w:rsidTr="00257719">
        <w:trPr>
          <w:trHeight w:val="841"/>
        </w:trPr>
        <w:tc>
          <w:tcPr>
            <w:tcW w:w="4227" w:type="dxa"/>
          </w:tcPr>
          <w:p w14:paraId="6DB4F5B7" w14:textId="77777777" w:rsidR="002D778B" w:rsidRDefault="002D778B">
            <w:pPr>
              <w:pStyle w:val="TableParagraph"/>
              <w:spacing w:before="2"/>
              <w:rPr>
                <w:rFonts w:ascii="Arial"/>
                <w:b/>
                <w:sz w:val="33"/>
              </w:rPr>
            </w:pPr>
          </w:p>
          <w:p w14:paraId="52436E95" w14:textId="77777777" w:rsidR="002D778B" w:rsidRDefault="009F6752">
            <w:pPr>
              <w:pStyle w:val="TableParagraph"/>
              <w:ind w:left="107"/>
              <w:rPr>
                <w:rFonts w:ascii="Arial"/>
                <w:b/>
                <w:i/>
                <w:sz w:val="24"/>
              </w:rPr>
            </w:pPr>
            <w:r>
              <w:rPr>
                <w:rFonts w:ascii="Arial"/>
                <w:b/>
                <w:sz w:val="24"/>
              </w:rPr>
              <w:t>JANGKAAN</w:t>
            </w:r>
            <w:r>
              <w:rPr>
                <w:rFonts w:ascii="Arial"/>
                <w:b/>
                <w:spacing w:val="-2"/>
                <w:sz w:val="24"/>
              </w:rPr>
              <w:t xml:space="preserve"> </w:t>
            </w:r>
            <w:r>
              <w:rPr>
                <w:rFonts w:ascii="Arial"/>
                <w:b/>
                <w:sz w:val="24"/>
              </w:rPr>
              <w:t>HASIL/</w:t>
            </w:r>
            <w:r>
              <w:rPr>
                <w:rFonts w:ascii="Arial"/>
                <w:b/>
                <w:spacing w:val="1"/>
                <w:sz w:val="24"/>
              </w:rPr>
              <w:t xml:space="preserve"> </w:t>
            </w:r>
            <w:r>
              <w:rPr>
                <w:rFonts w:ascii="Arial"/>
                <w:b/>
                <w:i/>
                <w:sz w:val="24"/>
              </w:rPr>
              <w:t>OUTCOME</w:t>
            </w:r>
          </w:p>
          <w:p w14:paraId="7FF622C4" w14:textId="77777777" w:rsidR="002D778B" w:rsidRDefault="009F6752">
            <w:pPr>
              <w:pStyle w:val="TableParagraph"/>
              <w:spacing w:before="162" w:line="276" w:lineRule="auto"/>
              <w:ind w:left="107" w:right="149"/>
              <w:rPr>
                <w:sz w:val="16"/>
              </w:rPr>
            </w:pPr>
            <w:r>
              <w:rPr>
                <w:color w:val="2E5395"/>
                <w:sz w:val="16"/>
              </w:rPr>
              <w:t>Keterangan: Apa yang MPC perlu capai/ faedah-faedah</w:t>
            </w:r>
            <w:r>
              <w:rPr>
                <w:color w:val="2E5395"/>
                <w:spacing w:val="-42"/>
                <w:sz w:val="16"/>
              </w:rPr>
              <w:t xml:space="preserve"> </w:t>
            </w:r>
            <w:r>
              <w:rPr>
                <w:color w:val="2E5395"/>
                <w:sz w:val="16"/>
              </w:rPr>
              <w:t>jangka pendek dan jangka panjang hasil dari intervensi</w:t>
            </w:r>
            <w:r>
              <w:rPr>
                <w:color w:val="2E5395"/>
                <w:spacing w:val="1"/>
                <w:sz w:val="16"/>
              </w:rPr>
              <w:t xml:space="preserve"> </w:t>
            </w:r>
            <w:r>
              <w:rPr>
                <w:color w:val="2E5395"/>
                <w:sz w:val="16"/>
              </w:rPr>
              <w:t>projek/</w:t>
            </w:r>
            <w:r>
              <w:rPr>
                <w:color w:val="2E5395"/>
                <w:spacing w:val="-2"/>
                <w:sz w:val="16"/>
              </w:rPr>
              <w:t xml:space="preserve"> </w:t>
            </w:r>
            <w:r>
              <w:rPr>
                <w:color w:val="2E5395"/>
                <w:sz w:val="16"/>
              </w:rPr>
              <w:t>cadangan</w:t>
            </w:r>
          </w:p>
        </w:tc>
        <w:tc>
          <w:tcPr>
            <w:tcW w:w="5669" w:type="dxa"/>
          </w:tcPr>
          <w:p w14:paraId="144F5109" w14:textId="77777777" w:rsidR="00C960AC" w:rsidRPr="00CF5D0A" w:rsidRDefault="00F31F1C" w:rsidP="005C649F">
            <w:pPr>
              <w:pStyle w:val="TableParagraph"/>
              <w:numPr>
                <w:ilvl w:val="0"/>
                <w:numId w:val="10"/>
              </w:numPr>
              <w:tabs>
                <w:tab w:val="left" w:pos="1173"/>
              </w:tabs>
              <w:spacing w:line="276" w:lineRule="auto"/>
              <w:ind w:right="90"/>
              <w:jc w:val="both"/>
            </w:pPr>
            <w:r>
              <w:rPr>
                <w:spacing w:val="-1"/>
              </w:rPr>
              <w:t xml:space="preserve">Penambahbaikan mekanisme penyelesaian isu perniagaan di peringkat </w:t>
            </w:r>
            <w:r w:rsidR="00CF5D0A" w:rsidRPr="00CF5D0A">
              <w:rPr>
                <w:spacing w:val="-1"/>
              </w:rPr>
              <w:t>Pasukan Petugas Khas Pemudahcara Perniagaan Peringkat Negeri Sarawak</w:t>
            </w:r>
            <w:r w:rsidR="00CF5D0A">
              <w:rPr>
                <w:spacing w:val="-1"/>
              </w:rPr>
              <w:t xml:space="preserve"> (SAMUDAH)</w:t>
            </w:r>
          </w:p>
          <w:p w14:paraId="441D8BC6" w14:textId="77777777" w:rsidR="00CF5D0A" w:rsidRPr="002D4EDC" w:rsidRDefault="00CF5D0A" w:rsidP="005C649F">
            <w:pPr>
              <w:pStyle w:val="TableParagraph"/>
              <w:numPr>
                <w:ilvl w:val="0"/>
                <w:numId w:val="10"/>
              </w:numPr>
              <w:tabs>
                <w:tab w:val="left" w:pos="1173"/>
              </w:tabs>
              <w:spacing w:line="276" w:lineRule="auto"/>
              <w:ind w:right="90"/>
              <w:jc w:val="both"/>
            </w:pPr>
            <w:r>
              <w:rPr>
                <w:spacing w:val="-1"/>
              </w:rPr>
              <w:t xml:space="preserve">Pembangunan Kapasiti </w:t>
            </w:r>
            <w:r w:rsidR="002D4EDC">
              <w:rPr>
                <w:spacing w:val="-1"/>
              </w:rPr>
              <w:t>Inisiatif MyMUDAH kepada pegawai-pegawai kerajaan negeri di Sarawak</w:t>
            </w:r>
          </w:p>
          <w:p w14:paraId="5046447E" w14:textId="5A311AF2" w:rsidR="002D4EDC" w:rsidRDefault="002D4EDC" w:rsidP="005C649F">
            <w:pPr>
              <w:pStyle w:val="TableParagraph"/>
              <w:numPr>
                <w:ilvl w:val="0"/>
                <w:numId w:val="10"/>
              </w:numPr>
              <w:tabs>
                <w:tab w:val="left" w:pos="1173"/>
              </w:tabs>
              <w:spacing w:line="276" w:lineRule="auto"/>
              <w:ind w:right="90"/>
              <w:jc w:val="both"/>
            </w:pPr>
            <w:r>
              <w:rPr>
                <w:spacing w:val="-1"/>
              </w:rPr>
              <w:t>Penyaluran isu-isu perniagaan yang lebih berkualiti daripada komuniti perniagaan</w:t>
            </w:r>
          </w:p>
        </w:tc>
      </w:tr>
      <w:tr w:rsidR="00257719" w14:paraId="1DA90437" w14:textId="77777777" w:rsidTr="00257719">
        <w:trPr>
          <w:trHeight w:val="841"/>
        </w:trPr>
        <w:tc>
          <w:tcPr>
            <w:tcW w:w="4227" w:type="dxa"/>
          </w:tcPr>
          <w:p w14:paraId="62D79886" w14:textId="77777777" w:rsidR="00257719" w:rsidRDefault="00257719" w:rsidP="00257719">
            <w:pPr>
              <w:pStyle w:val="TableParagraph"/>
              <w:spacing w:before="8"/>
              <w:rPr>
                <w:rFonts w:ascii="Arial"/>
                <w:b/>
                <w:sz w:val="30"/>
              </w:rPr>
            </w:pPr>
          </w:p>
          <w:p w14:paraId="040343D2" w14:textId="77777777"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0C4D7B6D" w:rsidR="00257719" w:rsidRDefault="00257719" w:rsidP="00257719">
            <w:pPr>
              <w:pStyle w:val="TableParagraph"/>
              <w:spacing w:before="9"/>
              <w:rPr>
                <w:rFonts w:ascii="Arial"/>
                <w:b/>
                <w:sz w:val="23"/>
              </w:rPr>
            </w:pPr>
            <w:r>
              <w:rPr>
                <w:color w:val="2E5395"/>
                <w:sz w:val="16"/>
              </w:rPr>
              <w:t>Keterangan:</w:t>
            </w:r>
            <w:r>
              <w:rPr>
                <w:color w:val="2E5395"/>
                <w:spacing w:val="-4"/>
                <w:sz w:val="16"/>
              </w:rPr>
              <w:t xml:space="preserve"> </w:t>
            </w:r>
            <w:r>
              <w:rPr>
                <w:color w:val="2E5395"/>
                <w:sz w:val="16"/>
              </w:rPr>
              <w:t>Sumber</w:t>
            </w:r>
            <w:r>
              <w:rPr>
                <w:color w:val="2E5395"/>
                <w:spacing w:val="-2"/>
                <w:sz w:val="16"/>
              </w:rPr>
              <w:t xml:space="preserve"> </w:t>
            </w:r>
            <w:r>
              <w:rPr>
                <w:color w:val="2E5395"/>
                <w:sz w:val="16"/>
              </w:rPr>
              <w:t>bajet</w:t>
            </w:r>
            <w:r>
              <w:rPr>
                <w:color w:val="2E5395"/>
                <w:spacing w:val="-3"/>
                <w:sz w:val="16"/>
              </w:rPr>
              <w:t xml:space="preserve"> </w:t>
            </w:r>
            <w:r>
              <w:rPr>
                <w:color w:val="2E5395"/>
                <w:sz w:val="16"/>
              </w:rPr>
              <w:t>/</w:t>
            </w:r>
            <w:r>
              <w:rPr>
                <w:color w:val="2E5395"/>
                <w:spacing w:val="-1"/>
                <w:sz w:val="16"/>
              </w:rPr>
              <w:t xml:space="preserve"> </w:t>
            </w:r>
            <w:r>
              <w:rPr>
                <w:color w:val="2E5395"/>
                <w:sz w:val="16"/>
              </w:rPr>
              <w:t>jumlah</w:t>
            </w:r>
            <w:r>
              <w:rPr>
                <w:color w:val="2E5395"/>
                <w:spacing w:val="-2"/>
                <w:sz w:val="16"/>
              </w:rPr>
              <w:t xml:space="preserve"> </w:t>
            </w:r>
            <w:r>
              <w:rPr>
                <w:color w:val="2E5395"/>
                <w:sz w:val="16"/>
              </w:rPr>
              <w:t>kos</w:t>
            </w:r>
            <w:r>
              <w:rPr>
                <w:color w:val="2E5395"/>
                <w:spacing w:val="-3"/>
                <w:sz w:val="16"/>
              </w:rPr>
              <w:t xml:space="preserve"> </w:t>
            </w:r>
            <w:r>
              <w:rPr>
                <w:color w:val="2E5395"/>
                <w:sz w:val="16"/>
              </w:rPr>
              <w:t>yang</w:t>
            </w:r>
            <w:r>
              <w:rPr>
                <w:color w:val="2E5395"/>
                <w:spacing w:val="-2"/>
                <w:sz w:val="16"/>
              </w:rPr>
              <w:t xml:space="preserve"> </w:t>
            </w:r>
            <w:r>
              <w:rPr>
                <w:color w:val="2E5395"/>
                <w:sz w:val="16"/>
              </w:rPr>
              <w:t>terlibat.</w:t>
            </w:r>
          </w:p>
        </w:tc>
        <w:tc>
          <w:tcPr>
            <w:tcW w:w="5669" w:type="dxa"/>
          </w:tcPr>
          <w:p w14:paraId="32EF33F5" w14:textId="65929E22" w:rsidR="0070518D" w:rsidRPr="00FC6249" w:rsidRDefault="00B1000D" w:rsidP="00065804">
            <w:pPr>
              <w:pStyle w:val="TableParagraph"/>
              <w:spacing w:before="122"/>
              <w:rPr>
                <w:b/>
                <w:highlight w:val="yellow"/>
              </w:rPr>
            </w:pPr>
            <w:r>
              <w:rPr>
                <w:rFonts w:ascii="Arial"/>
                <w:b/>
              </w:rPr>
              <w:t xml:space="preserve"> </w:t>
            </w:r>
            <w:r w:rsidR="00C82A15" w:rsidRPr="00D74B54">
              <w:rPr>
                <w:b/>
                <w:highlight w:val="yellow"/>
              </w:rPr>
              <w:t>MyMUDAH</w:t>
            </w:r>
            <w:r w:rsidR="009F6752" w:rsidRPr="00D74B54">
              <w:rPr>
                <w:b/>
                <w:highlight w:val="yellow"/>
              </w:rPr>
              <w:t xml:space="preserve"> (</w:t>
            </w:r>
            <w:r w:rsidR="00FC6249">
              <w:rPr>
                <w:b/>
                <w:highlight w:val="yellow"/>
              </w:rPr>
              <w:t>Operasi OE</w:t>
            </w:r>
            <w:r w:rsidR="009F6752" w:rsidRPr="00D74B54">
              <w:rPr>
                <w:b/>
                <w:highlight w:val="yellow"/>
              </w:rPr>
              <w:t>)</w:t>
            </w:r>
            <w:r w:rsidR="00065804" w:rsidRPr="00D74B54">
              <w:rPr>
                <w:b/>
                <w:highlight w:val="yellow"/>
              </w:rPr>
              <w:t>: RM</w:t>
            </w:r>
            <w:r w:rsidR="00DA68BF">
              <w:rPr>
                <w:b/>
                <w:highlight w:val="yellow"/>
              </w:rPr>
              <w:t>30,</w:t>
            </w:r>
            <w:r w:rsidR="00FC6249">
              <w:rPr>
                <w:b/>
                <w:highlight w:val="yellow"/>
              </w:rPr>
              <w:t>2</w:t>
            </w:r>
            <w:r w:rsidR="00DA68BF">
              <w:rPr>
                <w:b/>
                <w:highlight w:val="yellow"/>
              </w:rPr>
              <w:t>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56A8B22D" w:rsidR="009970D2" w:rsidRDefault="009970D2" w:rsidP="00257719">
            <w:pPr>
              <w:pStyle w:val="TableParagraph"/>
              <w:tabs>
                <w:tab w:val="left" w:pos="461"/>
              </w:tabs>
              <w:spacing w:before="122"/>
            </w:pPr>
            <w:r w:rsidRPr="009970D2">
              <w:t>Ahli Lembaga Pengurusan dipohon untuk mempertimbangkan cadangan</w:t>
            </w:r>
            <w:r>
              <w:t xml:space="preserve"> peruntukan sebanyak RM </w:t>
            </w:r>
            <w:r w:rsidR="00DA68BF">
              <w:t xml:space="preserve">30,200 </w:t>
            </w:r>
            <w:r>
              <w:t xml:space="preserve">bagi </w:t>
            </w:r>
            <w:r w:rsidRPr="009970D2">
              <w:t>Pelaksanaan Inisiatif MyMUDAH bersama Kerajaan Negeri Sarawak</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5C269FE8" w:rsidR="00257719" w:rsidRDefault="009970D2" w:rsidP="00257719">
            <w:pPr>
              <w:pStyle w:val="TableParagraph"/>
              <w:tabs>
                <w:tab w:val="left" w:pos="461"/>
              </w:tabs>
              <w:spacing w:before="122"/>
            </w:pPr>
            <w:r>
              <w:t>MPC Wilayah Sarawak</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4E042ED5" w14:textId="77777777" w:rsidR="00257719" w:rsidRDefault="00257719" w:rsidP="00257719">
      <w:pPr>
        <w:tabs>
          <w:tab w:val="left" w:pos="873"/>
        </w:tabs>
      </w:pPr>
    </w:p>
    <w:p w14:paraId="46E95B21" w14:textId="77777777" w:rsidR="00257719" w:rsidRDefault="00257719" w:rsidP="00257719">
      <w:pPr>
        <w:tabs>
          <w:tab w:val="left" w:pos="873"/>
        </w:tabs>
      </w:pPr>
    </w:p>
    <w:p w14:paraId="713AD105" w14:textId="77777777" w:rsidR="00257719" w:rsidRDefault="00257719" w:rsidP="00257719">
      <w:pPr>
        <w:tabs>
          <w:tab w:val="left" w:pos="873"/>
        </w:tabs>
      </w:pPr>
    </w:p>
    <w:p w14:paraId="382D8263" w14:textId="77777777" w:rsidR="00257719" w:rsidRDefault="00257719"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104"/>
      </w:tblGrid>
      <w:tr w:rsidR="00257719" w14:paraId="600913E2" w14:textId="77777777" w:rsidTr="00670877">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10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670877">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10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670877">
        <w:trPr>
          <w:trHeight w:val="1731"/>
        </w:trPr>
        <w:tc>
          <w:tcPr>
            <w:tcW w:w="3563" w:type="dxa"/>
          </w:tcPr>
          <w:p w14:paraId="106606D2" w14:textId="4C1AD6A6" w:rsidR="00AE433A" w:rsidRDefault="00773FAB" w:rsidP="00AE433A">
            <w:pPr>
              <w:pStyle w:val="TableParagraph"/>
              <w:ind w:left="107"/>
              <w:rPr>
                <w:rFonts w:ascii="Arial"/>
                <w:b/>
                <w:sz w:val="24"/>
              </w:rPr>
            </w:pPr>
            <w:r>
              <w:rPr>
                <w:rFonts w:ascii="Arial"/>
                <w:b/>
                <w:sz w:val="24"/>
              </w:rPr>
              <w:t>PN LIYANA OTHMAN</w:t>
            </w:r>
          </w:p>
          <w:p w14:paraId="35205246" w14:textId="28F2FB2D" w:rsidR="00AE433A" w:rsidRDefault="00773FAB" w:rsidP="00AE433A">
            <w:pPr>
              <w:pStyle w:val="TableParagraph"/>
              <w:ind w:left="107"/>
              <w:rPr>
                <w:rFonts w:ascii="Arial"/>
                <w:b/>
                <w:sz w:val="24"/>
              </w:rPr>
            </w:pPr>
            <w:r>
              <w:rPr>
                <w:rFonts w:ascii="Arial"/>
                <w:b/>
                <w:sz w:val="24"/>
              </w:rPr>
              <w:t xml:space="preserve">PENOLONG </w:t>
            </w:r>
            <w:r w:rsidR="00670877">
              <w:rPr>
                <w:rFonts w:ascii="Arial"/>
                <w:b/>
                <w:sz w:val="24"/>
              </w:rPr>
              <w:t>PENGURUS</w:t>
            </w:r>
          </w:p>
          <w:p w14:paraId="7663F7E8" w14:textId="77777777" w:rsidR="00AE433A" w:rsidRDefault="00AE433A" w:rsidP="0085079A">
            <w:pPr>
              <w:pStyle w:val="TableParagraph"/>
              <w:ind w:left="107"/>
              <w:rPr>
                <w:rFonts w:ascii="Arial"/>
                <w:b/>
                <w:sz w:val="24"/>
              </w:rPr>
            </w:pPr>
          </w:p>
        </w:tc>
        <w:tc>
          <w:tcPr>
            <w:tcW w:w="3260" w:type="dxa"/>
          </w:tcPr>
          <w:p w14:paraId="742A6EB2" w14:textId="777EA8AA" w:rsidR="00AE433A" w:rsidRDefault="00670877" w:rsidP="00AE433A">
            <w:pPr>
              <w:pStyle w:val="TableParagraph"/>
              <w:ind w:left="108"/>
              <w:rPr>
                <w:rFonts w:ascii="Arial"/>
                <w:b/>
                <w:sz w:val="24"/>
              </w:rPr>
            </w:pPr>
            <w:r>
              <w:rPr>
                <w:b/>
                <w:bCs/>
                <w:sz w:val="24"/>
              </w:rPr>
              <w:t xml:space="preserve">CIK </w:t>
            </w:r>
            <w:r w:rsidR="00773FAB">
              <w:rPr>
                <w:b/>
                <w:bCs/>
                <w:sz w:val="24"/>
              </w:rPr>
              <w:t>RABIATUL HANA ISHAK</w:t>
            </w:r>
            <w:r>
              <w:rPr>
                <w:b/>
                <w:bCs/>
                <w:sz w:val="24"/>
              </w:rPr>
              <w:br/>
              <w:t>PENGURUS</w:t>
            </w:r>
          </w:p>
        </w:tc>
        <w:tc>
          <w:tcPr>
            <w:tcW w:w="3104" w:type="dxa"/>
          </w:tcPr>
          <w:p w14:paraId="39CC9FB4" w14:textId="7F984219" w:rsidR="00AE433A" w:rsidRDefault="00670877" w:rsidP="00AE433A">
            <w:pPr>
              <w:pStyle w:val="TableParagraph"/>
              <w:spacing w:line="276" w:lineRule="auto"/>
              <w:ind w:left="108" w:right="-159"/>
              <w:rPr>
                <w:rFonts w:ascii="Arial"/>
                <w:b/>
                <w:sz w:val="24"/>
              </w:rPr>
            </w:pPr>
            <w:r>
              <w:rPr>
                <w:rFonts w:ascii="Arial"/>
                <w:b/>
                <w:sz w:val="24"/>
              </w:rPr>
              <w:t>DR. MAZLINA SHAFI</w:t>
            </w:r>
            <w:r>
              <w:rPr>
                <w:rFonts w:ascii="Arial"/>
                <w:b/>
                <w:sz w:val="24"/>
              </w:rPr>
              <w:t>’</w:t>
            </w:r>
            <w:r>
              <w:rPr>
                <w:rFonts w:ascii="Arial"/>
                <w:b/>
                <w:sz w:val="24"/>
              </w:rPr>
              <w:t>I</w:t>
            </w:r>
          </w:p>
          <w:p w14:paraId="7A178A50" w14:textId="77777777" w:rsidR="00AE433A" w:rsidRPr="00A52B5A" w:rsidRDefault="00AE433A" w:rsidP="00AE433A">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540A20CA" w14:textId="77777777" w:rsidR="00257719" w:rsidRDefault="00257719" w:rsidP="00257719">
      <w:pPr>
        <w:tabs>
          <w:tab w:val="left" w:pos="873"/>
        </w:tabs>
      </w:pPr>
    </w:p>
    <w:p w14:paraId="3A172F66" w14:textId="77777777" w:rsidR="00477BEA" w:rsidRDefault="00477BEA" w:rsidP="00477BEA"/>
    <w:p w14:paraId="2945E32D" w14:textId="77777777" w:rsidR="006F2421" w:rsidRDefault="006F2421" w:rsidP="00477BEA">
      <w:pPr>
        <w:tabs>
          <w:tab w:val="left" w:pos="6436"/>
        </w:tabs>
        <w:spacing w:before="67"/>
        <w:ind w:right="1016"/>
        <w:rPr>
          <w:sz w:val="24"/>
        </w:rPr>
      </w:pPr>
    </w:p>
    <w:p w14:paraId="33D73D0A" w14:textId="77777777" w:rsidR="006F2421" w:rsidRDefault="006F2421" w:rsidP="00477BEA">
      <w:pPr>
        <w:tabs>
          <w:tab w:val="left" w:pos="6436"/>
        </w:tabs>
        <w:spacing w:before="67"/>
        <w:ind w:right="1016"/>
        <w:rPr>
          <w:sz w:val="24"/>
        </w:rPr>
      </w:pPr>
    </w:p>
    <w:p w14:paraId="2BB09A61" w14:textId="77777777" w:rsidR="006F2421" w:rsidRDefault="006F2421" w:rsidP="00477BEA">
      <w:pPr>
        <w:tabs>
          <w:tab w:val="left" w:pos="6436"/>
        </w:tabs>
        <w:spacing w:before="67"/>
        <w:ind w:right="1016"/>
        <w:rPr>
          <w:sz w:val="24"/>
        </w:rPr>
      </w:pPr>
    </w:p>
    <w:p w14:paraId="1535E9CF" w14:textId="77777777" w:rsidR="006F2421" w:rsidRDefault="006F2421" w:rsidP="00477BEA">
      <w:pPr>
        <w:tabs>
          <w:tab w:val="left" w:pos="6436"/>
        </w:tabs>
        <w:spacing w:before="67"/>
        <w:ind w:right="1016"/>
        <w:rPr>
          <w:sz w:val="24"/>
        </w:rPr>
      </w:pPr>
    </w:p>
    <w:p w14:paraId="44F62D65" w14:textId="77777777" w:rsidR="006F2421" w:rsidRDefault="006F2421" w:rsidP="00477BEA">
      <w:pPr>
        <w:tabs>
          <w:tab w:val="left" w:pos="6436"/>
        </w:tabs>
        <w:spacing w:before="67"/>
        <w:ind w:right="1016"/>
        <w:rPr>
          <w:sz w:val="24"/>
        </w:rPr>
      </w:pPr>
    </w:p>
    <w:p w14:paraId="14DF80F1" w14:textId="77777777" w:rsidR="006F2421" w:rsidRDefault="006F2421" w:rsidP="00477BEA">
      <w:pPr>
        <w:tabs>
          <w:tab w:val="left" w:pos="6436"/>
        </w:tabs>
        <w:spacing w:before="67"/>
        <w:ind w:right="1016"/>
        <w:rPr>
          <w:sz w:val="24"/>
        </w:rPr>
      </w:pPr>
    </w:p>
    <w:p w14:paraId="204F8545" w14:textId="77777777" w:rsidR="006F2421" w:rsidRDefault="006F2421" w:rsidP="00477BEA">
      <w:pPr>
        <w:tabs>
          <w:tab w:val="left" w:pos="6436"/>
        </w:tabs>
        <w:spacing w:before="67"/>
        <w:ind w:right="1016"/>
        <w:rPr>
          <w:sz w:val="24"/>
        </w:rPr>
      </w:pPr>
    </w:p>
    <w:p w14:paraId="2CE1B211" w14:textId="77777777" w:rsidR="006F2421" w:rsidRDefault="006F2421" w:rsidP="00477BEA">
      <w:pPr>
        <w:tabs>
          <w:tab w:val="left" w:pos="6436"/>
        </w:tabs>
        <w:spacing w:before="67"/>
        <w:ind w:right="1016"/>
        <w:rPr>
          <w:sz w:val="24"/>
        </w:rPr>
      </w:pPr>
    </w:p>
    <w:p w14:paraId="6104222E" w14:textId="77777777" w:rsidR="006F2421" w:rsidRDefault="006F2421" w:rsidP="00477BEA">
      <w:pPr>
        <w:tabs>
          <w:tab w:val="left" w:pos="6436"/>
        </w:tabs>
        <w:spacing w:before="67"/>
        <w:ind w:right="1016"/>
        <w:rPr>
          <w:sz w:val="24"/>
        </w:rPr>
      </w:pPr>
    </w:p>
    <w:p w14:paraId="79530E71" w14:textId="77777777" w:rsidR="006F2421" w:rsidRDefault="006F2421" w:rsidP="00477BEA">
      <w:pPr>
        <w:tabs>
          <w:tab w:val="left" w:pos="6436"/>
        </w:tabs>
        <w:spacing w:before="67"/>
        <w:ind w:right="1016"/>
        <w:rPr>
          <w:sz w:val="24"/>
        </w:rPr>
      </w:pPr>
    </w:p>
    <w:p w14:paraId="684D8AC7" w14:textId="77777777" w:rsidR="006F2421" w:rsidRDefault="006F2421" w:rsidP="00477BEA">
      <w:pPr>
        <w:tabs>
          <w:tab w:val="left" w:pos="6436"/>
        </w:tabs>
        <w:spacing w:before="67"/>
        <w:ind w:right="1016"/>
        <w:rPr>
          <w:sz w:val="24"/>
        </w:rPr>
      </w:pPr>
    </w:p>
    <w:p w14:paraId="6D20BAF0" w14:textId="6386780B" w:rsidR="00477BEA" w:rsidRPr="00DA68BF" w:rsidRDefault="00477BEA" w:rsidP="00DA68BF">
      <w:pPr>
        <w:tabs>
          <w:tab w:val="left" w:pos="6436"/>
        </w:tabs>
        <w:spacing w:before="67"/>
        <w:ind w:right="1016"/>
        <w:rPr>
          <w:sz w:val="24"/>
        </w:rPr>
      </w:pPr>
    </w:p>
    <w:p w14:paraId="6BA80E65" w14:textId="293D2830" w:rsidR="00477BEA" w:rsidRDefault="00477BEA" w:rsidP="00477BEA">
      <w:pPr>
        <w:jc w:val="cente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977"/>
        <w:gridCol w:w="1701"/>
        <w:gridCol w:w="2268"/>
      </w:tblGrid>
      <w:tr w:rsidR="00C31AF1" w:rsidRPr="00477BEA" w14:paraId="6DD67DA4" w14:textId="7F6F57B2" w:rsidTr="00DE6245">
        <w:trPr>
          <w:tblHeader/>
        </w:trPr>
        <w:tc>
          <w:tcPr>
            <w:tcW w:w="3289" w:type="dxa"/>
            <w:shd w:val="clear" w:color="auto" w:fill="E7E6E6"/>
          </w:tcPr>
          <w:p w14:paraId="2E485B43" w14:textId="77777777" w:rsidR="00C31AF1" w:rsidRPr="00DE6245" w:rsidRDefault="00C31AF1" w:rsidP="00DE6245">
            <w:pPr>
              <w:jc w:val="center"/>
              <w:rPr>
                <w:b/>
                <w:bCs/>
                <w:lang w:val="en-US"/>
              </w:rPr>
            </w:pPr>
            <w:r w:rsidRPr="00DE6245">
              <w:rPr>
                <w:b/>
                <w:bCs/>
                <w:lang w:val="en-US"/>
              </w:rPr>
              <w:t>Item</w:t>
            </w:r>
          </w:p>
        </w:tc>
        <w:tc>
          <w:tcPr>
            <w:tcW w:w="2977" w:type="dxa"/>
            <w:shd w:val="clear" w:color="auto" w:fill="E7E6E6"/>
          </w:tcPr>
          <w:p w14:paraId="28E1EDF0" w14:textId="5C82F800" w:rsidR="00C31AF1" w:rsidRPr="00DE6245" w:rsidRDefault="00C31AF1" w:rsidP="00DE6245">
            <w:pPr>
              <w:jc w:val="center"/>
              <w:rPr>
                <w:b/>
                <w:bCs/>
                <w:lang w:val="en-US"/>
              </w:rPr>
            </w:pPr>
            <w:r w:rsidRPr="00DE6245">
              <w:rPr>
                <w:b/>
                <w:bCs/>
                <w:lang w:val="en-US"/>
              </w:rPr>
              <w:t>Description</w:t>
            </w:r>
          </w:p>
        </w:tc>
        <w:tc>
          <w:tcPr>
            <w:tcW w:w="1701" w:type="dxa"/>
            <w:shd w:val="clear" w:color="auto" w:fill="E7E6E6"/>
          </w:tcPr>
          <w:p w14:paraId="7E71C66F" w14:textId="77777777" w:rsidR="00C31AF1" w:rsidRPr="00DE6245" w:rsidRDefault="00C31AF1" w:rsidP="00DE6245">
            <w:pPr>
              <w:jc w:val="center"/>
              <w:rPr>
                <w:b/>
                <w:bCs/>
                <w:lang w:val="en-US"/>
              </w:rPr>
            </w:pPr>
            <w:r w:rsidRPr="00DE6245">
              <w:rPr>
                <w:b/>
                <w:bCs/>
                <w:lang w:val="en-US"/>
              </w:rPr>
              <w:t>Cost (RM)</w:t>
            </w:r>
          </w:p>
        </w:tc>
        <w:tc>
          <w:tcPr>
            <w:tcW w:w="2268" w:type="dxa"/>
            <w:shd w:val="clear" w:color="auto" w:fill="E7E6E6"/>
          </w:tcPr>
          <w:p w14:paraId="48F0E4B6" w14:textId="4381B119" w:rsidR="00DE6245" w:rsidRPr="00DE6245" w:rsidRDefault="00C31AF1" w:rsidP="00DE6245">
            <w:pPr>
              <w:jc w:val="center"/>
              <w:rPr>
                <w:b/>
                <w:bCs/>
                <w:lang w:val="en-US"/>
              </w:rPr>
            </w:pPr>
            <w:r w:rsidRPr="00DE6245">
              <w:rPr>
                <w:b/>
                <w:bCs/>
                <w:lang w:val="en-US"/>
              </w:rPr>
              <w:t>Budget</w:t>
            </w:r>
            <w:r w:rsidR="00DE6245">
              <w:rPr>
                <w:b/>
                <w:bCs/>
                <w:lang w:val="en-US"/>
              </w:rPr>
              <w:t xml:space="preserve"> allocation</w:t>
            </w:r>
          </w:p>
          <w:p w14:paraId="6D843A27" w14:textId="43565391" w:rsidR="00C31AF1" w:rsidRPr="00DE6245" w:rsidRDefault="00C31AF1" w:rsidP="00DE6245">
            <w:pPr>
              <w:jc w:val="center"/>
              <w:rPr>
                <w:b/>
                <w:bCs/>
                <w:lang w:val="en-US"/>
              </w:rPr>
            </w:pPr>
            <w:r w:rsidRPr="00DE6245">
              <w:rPr>
                <w:b/>
                <w:bCs/>
                <w:lang w:val="en-US"/>
              </w:rPr>
              <w:t>(</w:t>
            </w:r>
            <w:r w:rsidR="00CD5AD2">
              <w:rPr>
                <w:b/>
                <w:bCs/>
                <w:lang w:val="en-US"/>
              </w:rPr>
              <w:t>DE</w:t>
            </w:r>
            <w:r w:rsidR="00DE6245" w:rsidRPr="00DE6245">
              <w:rPr>
                <w:b/>
                <w:bCs/>
                <w:lang w:val="en-US"/>
              </w:rPr>
              <w:t>/OE</w:t>
            </w:r>
            <w:r w:rsidRPr="00DE6245">
              <w:rPr>
                <w:b/>
                <w:bCs/>
                <w:lang w:val="en-US"/>
              </w:rPr>
              <w:t>)</w:t>
            </w:r>
          </w:p>
        </w:tc>
      </w:tr>
      <w:tr w:rsidR="00F24CF7" w:rsidRPr="00477BEA" w14:paraId="55B07BEB" w14:textId="04B7D8FE" w:rsidTr="00DE6245">
        <w:trPr>
          <w:trHeight w:val="1848"/>
        </w:trPr>
        <w:tc>
          <w:tcPr>
            <w:tcW w:w="3289" w:type="dxa"/>
          </w:tcPr>
          <w:p w14:paraId="3EB6DCE7" w14:textId="0EAA3DE2" w:rsidR="00F24CF7" w:rsidRPr="00D74B54" w:rsidRDefault="00F24CF7" w:rsidP="003072F3">
            <w:pPr>
              <w:rPr>
                <w:lang w:val="en-MY"/>
              </w:rPr>
            </w:pPr>
            <w:r>
              <w:rPr>
                <w:lang w:val="en-MY"/>
              </w:rPr>
              <w:t xml:space="preserve">Fasilitator </w:t>
            </w:r>
          </w:p>
        </w:tc>
        <w:tc>
          <w:tcPr>
            <w:tcW w:w="2977" w:type="dxa"/>
          </w:tcPr>
          <w:p w14:paraId="67283122" w14:textId="2DBF8C42" w:rsidR="00F24CF7" w:rsidRPr="00F24CF7" w:rsidRDefault="00F24CF7" w:rsidP="002305EC">
            <w:pPr>
              <w:rPr>
                <w:lang w:val="nb-NO"/>
              </w:rPr>
            </w:pPr>
            <w:r w:rsidRPr="00F24CF7">
              <w:rPr>
                <w:lang w:val="nb-NO"/>
              </w:rPr>
              <w:t>RM2,500 x 2 orang x 2 h</w:t>
            </w:r>
            <w:r>
              <w:rPr>
                <w:lang w:val="nb-NO"/>
              </w:rPr>
              <w:t>ari</w:t>
            </w:r>
          </w:p>
        </w:tc>
        <w:tc>
          <w:tcPr>
            <w:tcW w:w="1701" w:type="dxa"/>
          </w:tcPr>
          <w:p w14:paraId="0BF1C8C9" w14:textId="1A64AEE9" w:rsidR="00F24CF7" w:rsidRPr="00604684" w:rsidRDefault="00F24CF7" w:rsidP="00477BEA">
            <w:pPr>
              <w:rPr>
                <w:lang w:val="en-US"/>
              </w:rPr>
            </w:pPr>
            <w:r>
              <w:rPr>
                <w:lang w:val="nb-NO"/>
              </w:rPr>
              <w:t>10,000</w:t>
            </w:r>
          </w:p>
        </w:tc>
        <w:tc>
          <w:tcPr>
            <w:tcW w:w="2268" w:type="dxa"/>
            <w:vMerge w:val="restart"/>
          </w:tcPr>
          <w:p w14:paraId="3711975B" w14:textId="77777777" w:rsidR="00F24CF7" w:rsidRDefault="00F24CF7" w:rsidP="00477BEA">
            <w:pPr>
              <w:rPr>
                <w:highlight w:val="yellow"/>
                <w:lang w:val="en-US"/>
              </w:rPr>
            </w:pPr>
          </w:p>
          <w:p w14:paraId="41730767" w14:textId="77777777" w:rsidR="00F24CF7" w:rsidRDefault="00F24CF7" w:rsidP="00477BEA">
            <w:pPr>
              <w:rPr>
                <w:highlight w:val="yellow"/>
                <w:lang w:val="en-US"/>
              </w:rPr>
            </w:pPr>
          </w:p>
          <w:p w14:paraId="30DF6BF1" w14:textId="77777777" w:rsidR="00F24CF7" w:rsidRDefault="00F24CF7" w:rsidP="00477BEA">
            <w:pPr>
              <w:rPr>
                <w:highlight w:val="yellow"/>
                <w:lang w:val="en-US"/>
              </w:rPr>
            </w:pPr>
          </w:p>
          <w:p w14:paraId="64AF2661" w14:textId="77777777" w:rsidR="00F24CF7" w:rsidRDefault="00F24CF7" w:rsidP="00477BEA">
            <w:pPr>
              <w:rPr>
                <w:highlight w:val="yellow"/>
                <w:lang w:val="en-US"/>
              </w:rPr>
            </w:pPr>
          </w:p>
          <w:p w14:paraId="1C0C2E44" w14:textId="5EA11337" w:rsidR="00F24CF7" w:rsidRPr="00C31AF1" w:rsidRDefault="00F24CF7" w:rsidP="00DE6245">
            <w:pPr>
              <w:jc w:val="center"/>
              <w:rPr>
                <w:highlight w:val="yellow"/>
                <w:lang w:val="en-US"/>
              </w:rPr>
            </w:pPr>
            <w:r>
              <w:rPr>
                <w:lang w:val="en-US"/>
              </w:rPr>
              <w:t>MyMudah (</w:t>
            </w:r>
            <w:r w:rsidR="00FC6249">
              <w:rPr>
                <w:lang w:val="en-US"/>
              </w:rPr>
              <w:t>O</w:t>
            </w:r>
            <w:r>
              <w:rPr>
                <w:lang w:val="en-US"/>
              </w:rPr>
              <w:t>E)</w:t>
            </w:r>
          </w:p>
        </w:tc>
      </w:tr>
      <w:tr w:rsidR="00F24CF7" w:rsidRPr="00477BEA" w14:paraId="62467C81" w14:textId="77777777" w:rsidTr="00DA37EF">
        <w:trPr>
          <w:trHeight w:val="742"/>
        </w:trPr>
        <w:tc>
          <w:tcPr>
            <w:tcW w:w="3289" w:type="dxa"/>
          </w:tcPr>
          <w:p w14:paraId="0B32927B" w14:textId="1D151C52" w:rsidR="00F24CF7" w:rsidRDefault="00F24CF7" w:rsidP="003072F3">
            <w:pPr>
              <w:rPr>
                <w:lang w:val="nb-NO"/>
              </w:rPr>
            </w:pPr>
            <w:r>
              <w:rPr>
                <w:lang w:val="nb-NO"/>
              </w:rPr>
              <w:lastRenderedPageBreak/>
              <w:t xml:space="preserve">Pakej mesyuarat/makan minum </w:t>
            </w:r>
          </w:p>
          <w:p w14:paraId="6F2673DB" w14:textId="167ABF85" w:rsidR="00F24CF7" w:rsidRPr="002305EC" w:rsidRDefault="00F24CF7" w:rsidP="003072F3">
            <w:pPr>
              <w:rPr>
                <w:lang w:val="nb-NO"/>
              </w:rPr>
            </w:pPr>
          </w:p>
        </w:tc>
        <w:tc>
          <w:tcPr>
            <w:tcW w:w="2977" w:type="dxa"/>
          </w:tcPr>
          <w:p w14:paraId="31378E1F" w14:textId="41B158D5" w:rsidR="00F24CF7" w:rsidRDefault="00F24CF7" w:rsidP="002305EC">
            <w:pPr>
              <w:rPr>
                <w:lang w:val="nb-NO"/>
              </w:rPr>
            </w:pPr>
            <w:r>
              <w:rPr>
                <w:lang w:val="nb-NO"/>
              </w:rPr>
              <w:t>RM180 x 50 orang x 2 hari</w:t>
            </w:r>
          </w:p>
        </w:tc>
        <w:tc>
          <w:tcPr>
            <w:tcW w:w="1701" w:type="dxa"/>
          </w:tcPr>
          <w:p w14:paraId="3B5414F4" w14:textId="19642551" w:rsidR="00F24CF7" w:rsidRPr="00C257B0" w:rsidRDefault="00F24CF7" w:rsidP="00477BEA">
            <w:pPr>
              <w:rPr>
                <w:lang w:val="nb-NO"/>
              </w:rPr>
            </w:pPr>
            <w:r>
              <w:rPr>
                <w:lang w:val="nb-NO"/>
              </w:rPr>
              <w:t>18,000</w:t>
            </w:r>
          </w:p>
        </w:tc>
        <w:tc>
          <w:tcPr>
            <w:tcW w:w="2268" w:type="dxa"/>
            <w:vMerge/>
          </w:tcPr>
          <w:p w14:paraId="23B49861" w14:textId="77777777" w:rsidR="00F24CF7" w:rsidRPr="00DA37EF" w:rsidRDefault="00F24CF7" w:rsidP="00477BEA">
            <w:pPr>
              <w:rPr>
                <w:highlight w:val="yellow"/>
                <w:lang w:val="nb-NO"/>
              </w:rPr>
            </w:pPr>
          </w:p>
        </w:tc>
      </w:tr>
      <w:tr w:rsidR="00F24CF7" w:rsidRPr="00477BEA" w14:paraId="44C7CCF8" w14:textId="77777777" w:rsidTr="00DA37EF">
        <w:trPr>
          <w:trHeight w:val="742"/>
        </w:trPr>
        <w:tc>
          <w:tcPr>
            <w:tcW w:w="3289" w:type="dxa"/>
          </w:tcPr>
          <w:p w14:paraId="476FA0D6" w14:textId="64C2E122" w:rsidR="00F24CF7" w:rsidRPr="00B015C3" w:rsidRDefault="00F24CF7" w:rsidP="003072F3">
            <w:pPr>
              <w:rPr>
                <w:lang w:val="en-MY"/>
              </w:rPr>
            </w:pPr>
            <w:r w:rsidRPr="00B015C3">
              <w:rPr>
                <w:lang w:val="en-MY"/>
              </w:rPr>
              <w:t xml:space="preserve">Sewaan </w:t>
            </w:r>
            <w:r>
              <w:rPr>
                <w:lang w:val="en-MY"/>
              </w:rPr>
              <w:t>alatan audio visual, flipchart dan lain-lain</w:t>
            </w:r>
          </w:p>
        </w:tc>
        <w:tc>
          <w:tcPr>
            <w:tcW w:w="2977" w:type="dxa"/>
          </w:tcPr>
          <w:p w14:paraId="207A06CA" w14:textId="5269DC5F" w:rsidR="00F24CF7" w:rsidRPr="00DE09AC" w:rsidRDefault="00F24CF7" w:rsidP="002305EC">
            <w:pPr>
              <w:rPr>
                <w:i/>
                <w:iCs/>
                <w:lang w:val="en-MY"/>
              </w:rPr>
            </w:pPr>
            <w:r w:rsidRPr="00DE09AC">
              <w:rPr>
                <w:i/>
                <w:iCs/>
                <w:lang w:val="en-MY"/>
              </w:rPr>
              <w:t>Lump sum</w:t>
            </w:r>
          </w:p>
        </w:tc>
        <w:tc>
          <w:tcPr>
            <w:tcW w:w="1701" w:type="dxa"/>
          </w:tcPr>
          <w:p w14:paraId="04634416" w14:textId="220CDBB5" w:rsidR="00F24CF7" w:rsidRPr="00B015C3" w:rsidRDefault="00F24CF7" w:rsidP="00477BEA">
            <w:pPr>
              <w:rPr>
                <w:lang w:val="en-MY"/>
              </w:rPr>
            </w:pPr>
            <w:r>
              <w:rPr>
                <w:lang w:val="en-MY"/>
              </w:rPr>
              <w:t>2,000</w:t>
            </w:r>
          </w:p>
        </w:tc>
        <w:tc>
          <w:tcPr>
            <w:tcW w:w="2268" w:type="dxa"/>
            <w:vMerge/>
          </w:tcPr>
          <w:p w14:paraId="6F37A527" w14:textId="77777777" w:rsidR="00F24CF7" w:rsidRPr="00B015C3" w:rsidRDefault="00F24CF7" w:rsidP="00477BEA">
            <w:pPr>
              <w:rPr>
                <w:highlight w:val="yellow"/>
                <w:lang w:val="en-MY"/>
              </w:rPr>
            </w:pPr>
          </w:p>
        </w:tc>
      </w:tr>
      <w:tr w:rsidR="00FC6249" w:rsidRPr="00477BEA" w14:paraId="465C7D8A" w14:textId="77777777" w:rsidTr="00DA37EF">
        <w:trPr>
          <w:trHeight w:val="742"/>
        </w:trPr>
        <w:tc>
          <w:tcPr>
            <w:tcW w:w="3289" w:type="dxa"/>
          </w:tcPr>
          <w:p w14:paraId="48E074FC" w14:textId="27AD3BB1" w:rsidR="00FC6249" w:rsidRPr="00B015C3" w:rsidRDefault="00FC6249" w:rsidP="00FC6249">
            <w:pPr>
              <w:rPr>
                <w:lang w:val="en-MY"/>
              </w:rPr>
            </w:pPr>
            <w:r w:rsidRPr="00761FF2">
              <w:t xml:space="preserve">Tuntutan perjalanan pegawai </w:t>
            </w:r>
          </w:p>
        </w:tc>
        <w:tc>
          <w:tcPr>
            <w:tcW w:w="2977" w:type="dxa"/>
          </w:tcPr>
          <w:p w14:paraId="65F4C85A" w14:textId="77777777" w:rsidR="00FC6249" w:rsidRPr="00DE09AC" w:rsidRDefault="00FC6249" w:rsidP="00FC6249">
            <w:pPr>
              <w:rPr>
                <w:i/>
                <w:iCs/>
                <w:lang w:val="en-MY"/>
              </w:rPr>
            </w:pPr>
          </w:p>
        </w:tc>
        <w:tc>
          <w:tcPr>
            <w:tcW w:w="1701" w:type="dxa"/>
          </w:tcPr>
          <w:p w14:paraId="7AB7189B" w14:textId="01E7601B" w:rsidR="00FC6249" w:rsidRDefault="00FC6249" w:rsidP="00FC6249">
            <w:pPr>
              <w:rPr>
                <w:lang w:val="en-MY"/>
              </w:rPr>
            </w:pPr>
            <w:r>
              <w:rPr>
                <w:lang w:val="en-MY"/>
              </w:rPr>
              <w:t>200</w:t>
            </w:r>
          </w:p>
        </w:tc>
        <w:tc>
          <w:tcPr>
            <w:tcW w:w="2268" w:type="dxa"/>
          </w:tcPr>
          <w:p w14:paraId="5D37F26F" w14:textId="77777777" w:rsidR="00FC6249" w:rsidRPr="00B015C3" w:rsidRDefault="00FC6249" w:rsidP="00FC6249">
            <w:pPr>
              <w:rPr>
                <w:highlight w:val="yellow"/>
                <w:lang w:val="en-MY"/>
              </w:rPr>
            </w:pPr>
          </w:p>
        </w:tc>
      </w:tr>
      <w:tr w:rsidR="00076939" w:rsidRPr="00477BEA" w14:paraId="3D9FF835" w14:textId="71A888FD" w:rsidTr="007B7169">
        <w:tc>
          <w:tcPr>
            <w:tcW w:w="7967" w:type="dxa"/>
            <w:gridSpan w:val="3"/>
            <w:shd w:val="clear" w:color="auto" w:fill="FFF2CC"/>
          </w:tcPr>
          <w:p w14:paraId="15B4369E" w14:textId="0F0BB47E" w:rsidR="00076939" w:rsidRPr="00477BEA" w:rsidRDefault="00076939" w:rsidP="00076939">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699C53E9" w14:textId="57FAB98D" w:rsidR="00076939" w:rsidRDefault="00F60BC6" w:rsidP="00076939">
            <w:pPr>
              <w:rPr>
                <w:b/>
                <w:lang w:val="en-US"/>
              </w:rPr>
            </w:pPr>
            <w:r>
              <w:rPr>
                <w:b/>
                <w:lang w:val="en-US"/>
              </w:rPr>
              <w:t>30,200</w:t>
            </w:r>
          </w:p>
        </w:tc>
      </w:tr>
    </w:tbl>
    <w:p w14:paraId="7B660869" w14:textId="053B9B49" w:rsidR="009F6752" w:rsidRPr="002E3452" w:rsidRDefault="009F6752" w:rsidP="00DA68BF">
      <w:pPr>
        <w:tabs>
          <w:tab w:val="left" w:pos="677"/>
        </w:tabs>
        <w:rPr>
          <w:rFonts w:ascii="Arial" w:hAnsi="Arial" w:cs="Arial"/>
          <w:sz w:val="24"/>
          <w:szCs w:val="24"/>
        </w:rPr>
      </w:pPr>
    </w:p>
    <w:p w14:paraId="674F2611" w14:textId="145D8CD3" w:rsidR="00E315F9" w:rsidRPr="00E315F9" w:rsidRDefault="00E315F9" w:rsidP="009F6752">
      <w:pPr>
        <w:widowControl/>
        <w:autoSpaceDE/>
        <w:autoSpaceDN/>
        <w:jc w:val="center"/>
        <w:rPr>
          <w:sz w:val="24"/>
        </w:rPr>
      </w:pPr>
    </w:p>
    <w:sectPr w:rsidR="00E315F9" w:rsidRPr="00E315F9" w:rsidSect="006F1AB9">
      <w:pgSz w:w="11910" w:h="16840"/>
      <w:pgMar w:top="940" w:right="4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78F8" w14:textId="77777777" w:rsidR="006F1AB9" w:rsidRDefault="006F1AB9" w:rsidP="000D7C6E">
      <w:r>
        <w:separator/>
      </w:r>
    </w:p>
  </w:endnote>
  <w:endnote w:type="continuationSeparator" w:id="0">
    <w:p w14:paraId="5EEDE514" w14:textId="77777777" w:rsidR="006F1AB9" w:rsidRDefault="006F1AB9" w:rsidP="000D7C6E">
      <w:r>
        <w:continuationSeparator/>
      </w:r>
    </w:p>
  </w:endnote>
  <w:endnote w:type="continuationNotice" w:id="1">
    <w:p w14:paraId="53C512BC" w14:textId="77777777" w:rsidR="006F1AB9" w:rsidRDefault="006F1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8D4F" w14:textId="77777777" w:rsidR="006F1AB9" w:rsidRDefault="006F1AB9" w:rsidP="000D7C6E">
      <w:r>
        <w:separator/>
      </w:r>
    </w:p>
  </w:footnote>
  <w:footnote w:type="continuationSeparator" w:id="0">
    <w:p w14:paraId="6125CEC3" w14:textId="77777777" w:rsidR="006F1AB9" w:rsidRDefault="006F1AB9" w:rsidP="000D7C6E">
      <w:r>
        <w:continuationSeparator/>
      </w:r>
    </w:p>
  </w:footnote>
  <w:footnote w:type="continuationNotice" w:id="1">
    <w:p w14:paraId="1B5E7BAF" w14:textId="77777777" w:rsidR="006F1AB9" w:rsidRDefault="006F1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3"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4"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5"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6"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9"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1"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2"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3"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5"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19"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1"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3"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27"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28"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29"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0"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3"/>
  </w:num>
  <w:num w:numId="2" w16cid:durableId="2050445378">
    <w:abstractNumId w:val="18"/>
  </w:num>
  <w:num w:numId="3" w16cid:durableId="520778062">
    <w:abstractNumId w:val="11"/>
  </w:num>
  <w:num w:numId="4" w16cid:durableId="1685785458">
    <w:abstractNumId w:val="31"/>
  </w:num>
  <w:num w:numId="5" w16cid:durableId="284971631">
    <w:abstractNumId w:val="20"/>
  </w:num>
  <w:num w:numId="6" w16cid:durableId="1085496652">
    <w:abstractNumId w:val="28"/>
  </w:num>
  <w:num w:numId="7" w16cid:durableId="1065957033">
    <w:abstractNumId w:val="5"/>
  </w:num>
  <w:num w:numId="8" w16cid:durableId="1067460423">
    <w:abstractNumId w:val="10"/>
  </w:num>
  <w:num w:numId="9" w16cid:durableId="1038555442">
    <w:abstractNumId w:val="4"/>
  </w:num>
  <w:num w:numId="10" w16cid:durableId="1763137855">
    <w:abstractNumId w:val="14"/>
  </w:num>
  <w:num w:numId="11" w16cid:durableId="1772777013">
    <w:abstractNumId w:val="12"/>
  </w:num>
  <w:num w:numId="12" w16cid:durableId="495730175">
    <w:abstractNumId w:val="2"/>
  </w:num>
  <w:num w:numId="13" w16cid:durableId="1329098157">
    <w:abstractNumId w:val="26"/>
  </w:num>
  <w:num w:numId="14" w16cid:durableId="1697274360">
    <w:abstractNumId w:val="22"/>
  </w:num>
  <w:num w:numId="15" w16cid:durableId="1549146902">
    <w:abstractNumId w:val="15"/>
  </w:num>
  <w:num w:numId="16" w16cid:durableId="1082146247">
    <w:abstractNumId w:val="13"/>
  </w:num>
  <w:num w:numId="17" w16cid:durableId="60062283">
    <w:abstractNumId w:val="27"/>
  </w:num>
  <w:num w:numId="18" w16cid:durableId="765689053">
    <w:abstractNumId w:val="1"/>
  </w:num>
  <w:num w:numId="19" w16cid:durableId="47539611">
    <w:abstractNumId w:val="16"/>
  </w:num>
  <w:num w:numId="20" w16cid:durableId="42095799">
    <w:abstractNumId w:val="7"/>
  </w:num>
  <w:num w:numId="21" w16cid:durableId="1143693044">
    <w:abstractNumId w:val="0"/>
  </w:num>
  <w:num w:numId="22" w16cid:durableId="807211713">
    <w:abstractNumId w:val="24"/>
  </w:num>
  <w:num w:numId="23" w16cid:durableId="544948670">
    <w:abstractNumId w:val="17"/>
  </w:num>
  <w:num w:numId="24" w16cid:durableId="1052312823">
    <w:abstractNumId w:val="6"/>
  </w:num>
  <w:num w:numId="25" w16cid:durableId="1459376501">
    <w:abstractNumId w:val="9"/>
  </w:num>
  <w:num w:numId="26" w16cid:durableId="1114053657">
    <w:abstractNumId w:val="30"/>
  </w:num>
  <w:num w:numId="27" w16cid:durableId="1434401528">
    <w:abstractNumId w:val="29"/>
  </w:num>
  <w:num w:numId="28" w16cid:durableId="1101295403">
    <w:abstractNumId w:val="8"/>
  </w:num>
  <w:num w:numId="29" w16cid:durableId="351421081">
    <w:abstractNumId w:val="19"/>
  </w:num>
  <w:num w:numId="30" w16cid:durableId="520970998">
    <w:abstractNumId w:val="21"/>
  </w:num>
  <w:num w:numId="31" w16cid:durableId="987049452">
    <w:abstractNumId w:val="25"/>
  </w:num>
  <w:num w:numId="32" w16cid:durableId="2095003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6117"/>
    <w:rsid w:val="000202C5"/>
    <w:rsid w:val="00033C1B"/>
    <w:rsid w:val="00041B99"/>
    <w:rsid w:val="000612E5"/>
    <w:rsid w:val="00065804"/>
    <w:rsid w:val="00076939"/>
    <w:rsid w:val="00087BAD"/>
    <w:rsid w:val="000B096C"/>
    <w:rsid w:val="000D7C6E"/>
    <w:rsid w:val="000F2F11"/>
    <w:rsid w:val="00130FD0"/>
    <w:rsid w:val="00151A1A"/>
    <w:rsid w:val="0015472C"/>
    <w:rsid w:val="00155A06"/>
    <w:rsid w:val="00155AAD"/>
    <w:rsid w:val="00157F34"/>
    <w:rsid w:val="00190EEF"/>
    <w:rsid w:val="001B17F1"/>
    <w:rsid w:val="001C39CF"/>
    <w:rsid w:val="001D0265"/>
    <w:rsid w:val="002112AB"/>
    <w:rsid w:val="002160C4"/>
    <w:rsid w:val="00220351"/>
    <w:rsid w:val="002305EC"/>
    <w:rsid w:val="00236027"/>
    <w:rsid w:val="00237078"/>
    <w:rsid w:val="00257719"/>
    <w:rsid w:val="002643FE"/>
    <w:rsid w:val="0026553A"/>
    <w:rsid w:val="00272B42"/>
    <w:rsid w:val="00272C6E"/>
    <w:rsid w:val="00282620"/>
    <w:rsid w:val="00294700"/>
    <w:rsid w:val="002D44BF"/>
    <w:rsid w:val="002D4EDC"/>
    <w:rsid w:val="002D778B"/>
    <w:rsid w:val="002F229F"/>
    <w:rsid w:val="002F33BC"/>
    <w:rsid w:val="002F417B"/>
    <w:rsid w:val="003072F3"/>
    <w:rsid w:val="0031164E"/>
    <w:rsid w:val="00353A40"/>
    <w:rsid w:val="00380375"/>
    <w:rsid w:val="003946D4"/>
    <w:rsid w:val="003A2B4E"/>
    <w:rsid w:val="003B00D2"/>
    <w:rsid w:val="003B6C84"/>
    <w:rsid w:val="003B7B86"/>
    <w:rsid w:val="003E6D12"/>
    <w:rsid w:val="003F4195"/>
    <w:rsid w:val="00441C02"/>
    <w:rsid w:val="00456D21"/>
    <w:rsid w:val="00462597"/>
    <w:rsid w:val="004664A9"/>
    <w:rsid w:val="00473E2B"/>
    <w:rsid w:val="00477BEA"/>
    <w:rsid w:val="004E0F73"/>
    <w:rsid w:val="005062A3"/>
    <w:rsid w:val="0051728F"/>
    <w:rsid w:val="00522E28"/>
    <w:rsid w:val="00525DE7"/>
    <w:rsid w:val="0052611B"/>
    <w:rsid w:val="005323F4"/>
    <w:rsid w:val="005406B4"/>
    <w:rsid w:val="00576320"/>
    <w:rsid w:val="005935D3"/>
    <w:rsid w:val="005A77B2"/>
    <w:rsid w:val="005B16B9"/>
    <w:rsid w:val="005B5AAD"/>
    <w:rsid w:val="005C00BA"/>
    <w:rsid w:val="005C2EA6"/>
    <w:rsid w:val="005C5FC7"/>
    <w:rsid w:val="005C649F"/>
    <w:rsid w:val="005D2815"/>
    <w:rsid w:val="005E03B5"/>
    <w:rsid w:val="00604684"/>
    <w:rsid w:val="00647945"/>
    <w:rsid w:val="00655A11"/>
    <w:rsid w:val="00670877"/>
    <w:rsid w:val="00680B3C"/>
    <w:rsid w:val="00682485"/>
    <w:rsid w:val="006B5396"/>
    <w:rsid w:val="006C6940"/>
    <w:rsid w:val="006E11EE"/>
    <w:rsid w:val="006F1AB9"/>
    <w:rsid w:val="006F2421"/>
    <w:rsid w:val="006F4B48"/>
    <w:rsid w:val="0070518D"/>
    <w:rsid w:val="00723BBB"/>
    <w:rsid w:val="00730607"/>
    <w:rsid w:val="007348E3"/>
    <w:rsid w:val="00753A1F"/>
    <w:rsid w:val="00762907"/>
    <w:rsid w:val="00766BA6"/>
    <w:rsid w:val="00773FAB"/>
    <w:rsid w:val="0077635D"/>
    <w:rsid w:val="007817BD"/>
    <w:rsid w:val="007910F7"/>
    <w:rsid w:val="007C57DA"/>
    <w:rsid w:val="007D6BAE"/>
    <w:rsid w:val="007F0252"/>
    <w:rsid w:val="007F340C"/>
    <w:rsid w:val="007F77C5"/>
    <w:rsid w:val="008060BA"/>
    <w:rsid w:val="00811364"/>
    <w:rsid w:val="008305ED"/>
    <w:rsid w:val="00831B18"/>
    <w:rsid w:val="00832A03"/>
    <w:rsid w:val="00841880"/>
    <w:rsid w:val="00841C1D"/>
    <w:rsid w:val="008460B2"/>
    <w:rsid w:val="008467DA"/>
    <w:rsid w:val="008637AC"/>
    <w:rsid w:val="00870DE8"/>
    <w:rsid w:val="00873EE6"/>
    <w:rsid w:val="00880B0F"/>
    <w:rsid w:val="008854A1"/>
    <w:rsid w:val="008A1A8A"/>
    <w:rsid w:val="008C3355"/>
    <w:rsid w:val="008E5DE8"/>
    <w:rsid w:val="00931F20"/>
    <w:rsid w:val="0096425F"/>
    <w:rsid w:val="00977861"/>
    <w:rsid w:val="009837B7"/>
    <w:rsid w:val="00992EB2"/>
    <w:rsid w:val="009970D2"/>
    <w:rsid w:val="009A4C65"/>
    <w:rsid w:val="009B60CD"/>
    <w:rsid w:val="009D183F"/>
    <w:rsid w:val="009F6752"/>
    <w:rsid w:val="00A041AD"/>
    <w:rsid w:val="00A229A4"/>
    <w:rsid w:val="00A42047"/>
    <w:rsid w:val="00A52B5A"/>
    <w:rsid w:val="00A54C82"/>
    <w:rsid w:val="00A56B3C"/>
    <w:rsid w:val="00A94700"/>
    <w:rsid w:val="00AD0793"/>
    <w:rsid w:val="00AE433A"/>
    <w:rsid w:val="00AF04A5"/>
    <w:rsid w:val="00AF684C"/>
    <w:rsid w:val="00B015C3"/>
    <w:rsid w:val="00B1000D"/>
    <w:rsid w:val="00B24477"/>
    <w:rsid w:val="00B35203"/>
    <w:rsid w:val="00BB21D7"/>
    <w:rsid w:val="00BB6D43"/>
    <w:rsid w:val="00BC0DE1"/>
    <w:rsid w:val="00BD4FDB"/>
    <w:rsid w:val="00BD71DB"/>
    <w:rsid w:val="00BE2DC4"/>
    <w:rsid w:val="00C14E5A"/>
    <w:rsid w:val="00C17248"/>
    <w:rsid w:val="00C257B0"/>
    <w:rsid w:val="00C31AF1"/>
    <w:rsid w:val="00C3444F"/>
    <w:rsid w:val="00C44A37"/>
    <w:rsid w:val="00C66BDD"/>
    <w:rsid w:val="00C75E74"/>
    <w:rsid w:val="00C82A15"/>
    <w:rsid w:val="00C86ADA"/>
    <w:rsid w:val="00C93A92"/>
    <w:rsid w:val="00C960AC"/>
    <w:rsid w:val="00CB6B85"/>
    <w:rsid w:val="00CB7485"/>
    <w:rsid w:val="00CD5AD2"/>
    <w:rsid w:val="00CE401E"/>
    <w:rsid w:val="00CF5D0A"/>
    <w:rsid w:val="00D07806"/>
    <w:rsid w:val="00D56F94"/>
    <w:rsid w:val="00D70FD5"/>
    <w:rsid w:val="00D74B54"/>
    <w:rsid w:val="00D77752"/>
    <w:rsid w:val="00DA37EF"/>
    <w:rsid w:val="00DA68BF"/>
    <w:rsid w:val="00DA6CFA"/>
    <w:rsid w:val="00DC1F4B"/>
    <w:rsid w:val="00DC63E6"/>
    <w:rsid w:val="00DE09AC"/>
    <w:rsid w:val="00DE6245"/>
    <w:rsid w:val="00E069F4"/>
    <w:rsid w:val="00E315F9"/>
    <w:rsid w:val="00E43C3F"/>
    <w:rsid w:val="00E53992"/>
    <w:rsid w:val="00E65220"/>
    <w:rsid w:val="00E87020"/>
    <w:rsid w:val="00E90810"/>
    <w:rsid w:val="00EA14E2"/>
    <w:rsid w:val="00EA3B05"/>
    <w:rsid w:val="00EA5B92"/>
    <w:rsid w:val="00EB0FBD"/>
    <w:rsid w:val="00EB2ACE"/>
    <w:rsid w:val="00EC2570"/>
    <w:rsid w:val="00ED7C97"/>
    <w:rsid w:val="00F06EDB"/>
    <w:rsid w:val="00F2147A"/>
    <w:rsid w:val="00F24CF7"/>
    <w:rsid w:val="00F31F1C"/>
    <w:rsid w:val="00F55868"/>
    <w:rsid w:val="00F60BC6"/>
    <w:rsid w:val="00FB4685"/>
    <w:rsid w:val="00FB567B"/>
    <w:rsid w:val="00FC6249"/>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6</cp:revision>
  <dcterms:created xsi:type="dcterms:W3CDTF">2024-01-11T04:13:00Z</dcterms:created>
  <dcterms:modified xsi:type="dcterms:W3CDTF">2024-01-15T06:26:00Z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ies>
</file>