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0C88" w14:textId="77777777" w:rsidR="00DE4B1D" w:rsidRDefault="00DE4B1D" w:rsidP="00DE4B1D">
      <w:pPr>
        <w:pStyle w:val="Default"/>
        <w:rPr>
          <w:sz w:val="23"/>
          <w:szCs w:val="23"/>
        </w:rPr>
      </w:pPr>
      <w:r>
        <w:rPr>
          <w:sz w:val="23"/>
          <w:szCs w:val="23"/>
        </w:rPr>
        <w:t xml:space="preserve">In 2020-21, the Commission continued to provide evidence-based advice on a range of topics of significance to the Australian community. </w:t>
      </w:r>
    </w:p>
    <w:p w14:paraId="48847A8C" w14:textId="77777777" w:rsidR="00DE4B1D" w:rsidRDefault="00DE4B1D" w:rsidP="00DE4B1D">
      <w:pPr>
        <w:pStyle w:val="Default"/>
        <w:rPr>
          <w:sz w:val="23"/>
          <w:szCs w:val="23"/>
        </w:rPr>
      </w:pPr>
      <w:r>
        <w:rPr>
          <w:sz w:val="23"/>
          <w:szCs w:val="23"/>
        </w:rPr>
        <w:t xml:space="preserve">During the year we completed an inquiry into progress with the reform of Australia's water resources sector that was commissioned by the Australian Government. We also completed three government-commissioned studies. One study examined regulation affecting the resources sector, another evaluated Australia's resilience to global supply chain disruptions and the third was a review of the National Agreement for Skills and Workforce Development. The Commission also delivered a whole-of-government evaluation strategy for policies and programs affecting Aboriginal and Torres Strait Islander people. </w:t>
      </w:r>
    </w:p>
    <w:p w14:paraId="1D5E2F18" w14:textId="77777777" w:rsidR="00DE4B1D" w:rsidRDefault="00DE4B1D" w:rsidP="00DE4B1D">
      <w:pPr>
        <w:pStyle w:val="Default"/>
        <w:rPr>
          <w:sz w:val="23"/>
          <w:szCs w:val="23"/>
        </w:rPr>
      </w:pPr>
      <w:r>
        <w:rPr>
          <w:sz w:val="23"/>
          <w:szCs w:val="23"/>
        </w:rPr>
        <w:t xml:space="preserve">During the year we also released research examining the decline in young people’s average incomes from 2008 to 2018. And we progressed research on range of issues including working from home, small and medium business access to finance, and wealth transfers. </w:t>
      </w:r>
    </w:p>
    <w:p w14:paraId="41416437" w14:textId="77777777" w:rsidR="00DE4B1D" w:rsidRDefault="00DE4B1D" w:rsidP="00DE4B1D">
      <w:pPr>
        <w:pStyle w:val="Default"/>
        <w:rPr>
          <w:sz w:val="23"/>
          <w:szCs w:val="23"/>
        </w:rPr>
      </w:pPr>
      <w:r>
        <w:rPr>
          <w:sz w:val="23"/>
          <w:szCs w:val="23"/>
        </w:rPr>
        <w:t xml:space="preserve">The Commission continued its work on productivity reform within Australia for the Council on Federal Financial Relations (CFFR). We completed case studies on Victoria's Commercial Land Use Zoning and Innovations in Care for Chronic Health Conditions. We also provided CFFR with two information papers – one set out a Plan to Identify Planning and Zoning Reforms, and the other was on Regulatory Technology. </w:t>
      </w:r>
    </w:p>
    <w:p w14:paraId="279930BC" w14:textId="77777777" w:rsidR="001C6887" w:rsidRDefault="001C6887" w:rsidP="00DE4B1D">
      <w:pPr>
        <w:pStyle w:val="Default"/>
        <w:rPr>
          <w:sz w:val="23"/>
          <w:szCs w:val="23"/>
        </w:rPr>
      </w:pPr>
    </w:p>
    <w:p w14:paraId="04AE6A2D" w14:textId="0F7571BE" w:rsidR="00DE4B1D" w:rsidRDefault="00DE4B1D" w:rsidP="00DE4B1D">
      <w:pPr>
        <w:pStyle w:val="Default"/>
        <w:rPr>
          <w:sz w:val="23"/>
          <w:szCs w:val="23"/>
        </w:rPr>
      </w:pPr>
      <w:r>
        <w:rPr>
          <w:sz w:val="23"/>
          <w:szCs w:val="23"/>
        </w:rPr>
        <w:t xml:space="preserve">We also continued to fulfil our legislated role to promote public understanding of matters relating to industry, industry development and productivity, including through our annual </w:t>
      </w:r>
      <w:r>
        <w:rPr>
          <w:i/>
          <w:iCs/>
          <w:sz w:val="23"/>
          <w:szCs w:val="23"/>
        </w:rPr>
        <w:t xml:space="preserve">Trade and Assistance Review </w:t>
      </w:r>
      <w:r>
        <w:rPr>
          <w:sz w:val="23"/>
          <w:szCs w:val="23"/>
        </w:rPr>
        <w:t xml:space="preserve">and </w:t>
      </w:r>
      <w:r>
        <w:rPr>
          <w:i/>
          <w:iCs/>
          <w:sz w:val="23"/>
          <w:szCs w:val="23"/>
        </w:rPr>
        <w:t xml:space="preserve">Productivity Insights </w:t>
      </w:r>
      <w:r>
        <w:rPr>
          <w:sz w:val="23"/>
          <w:szCs w:val="23"/>
        </w:rPr>
        <w:t xml:space="preserve">publications. The Commission released two </w:t>
      </w:r>
      <w:r>
        <w:rPr>
          <w:i/>
          <w:iCs/>
          <w:sz w:val="23"/>
          <w:szCs w:val="23"/>
        </w:rPr>
        <w:t xml:space="preserve">Productivity Insights </w:t>
      </w:r>
      <w:r>
        <w:rPr>
          <w:sz w:val="23"/>
          <w:szCs w:val="23"/>
        </w:rPr>
        <w:t xml:space="preserve">reports in 2020-21. The first examined long-run trends in Australia's productivity performance and lessons that can be drawn for the recovery from the COVID-19 pandemic. The second was an overview of productivity in the services sector, which accounts for about 80 per cent of production and 90 per cent of employment. </w:t>
      </w:r>
    </w:p>
    <w:p w14:paraId="322BEBCF" w14:textId="77777777" w:rsidR="00DE4B1D" w:rsidRDefault="00DE4B1D" w:rsidP="00DE4B1D">
      <w:pPr>
        <w:pStyle w:val="Default"/>
        <w:rPr>
          <w:sz w:val="23"/>
          <w:szCs w:val="23"/>
        </w:rPr>
      </w:pPr>
      <w:r>
        <w:rPr>
          <w:sz w:val="23"/>
          <w:szCs w:val="23"/>
        </w:rPr>
        <w:t xml:space="preserve">We released the 2020 </w:t>
      </w:r>
      <w:r>
        <w:rPr>
          <w:i/>
          <w:iCs/>
          <w:sz w:val="23"/>
          <w:szCs w:val="23"/>
        </w:rPr>
        <w:t xml:space="preserve">Overcoming Indigenous Disadvantage: Key Indicators </w:t>
      </w:r>
      <w:r>
        <w:rPr>
          <w:sz w:val="23"/>
          <w:szCs w:val="23"/>
        </w:rPr>
        <w:t xml:space="preserve">report, the eighth such report since 2003. We continued our journey of changing the ways we engage and work with Aboriginal and Torres Strait Islander people and organisations. We also commenced our new functions under the National Agreement on Closing the Gap, which included the release of the first version of the Closing the Gap Information Repository. </w:t>
      </w:r>
    </w:p>
    <w:p w14:paraId="466CF161" w14:textId="60ED61B8" w:rsidR="008F5D11" w:rsidRDefault="00DE4B1D" w:rsidP="00DE4B1D">
      <w:pPr>
        <w:rPr>
          <w:sz w:val="23"/>
          <w:szCs w:val="23"/>
        </w:rPr>
      </w:pPr>
      <w:r>
        <w:rPr>
          <w:sz w:val="23"/>
          <w:szCs w:val="23"/>
        </w:rPr>
        <w:t xml:space="preserve">The 2021 edition of the </w:t>
      </w:r>
      <w:r>
        <w:rPr>
          <w:i/>
          <w:iCs/>
          <w:sz w:val="23"/>
          <w:szCs w:val="23"/>
        </w:rPr>
        <w:t xml:space="preserve">Report on Government Services </w:t>
      </w:r>
      <w:r>
        <w:rPr>
          <w:sz w:val="23"/>
          <w:szCs w:val="23"/>
        </w:rPr>
        <w:t>was published during the year, providing comparative performance information on government service delivery areas.</w:t>
      </w:r>
    </w:p>
    <w:p w14:paraId="19217E92" w14:textId="77777777" w:rsidR="00DE4B1D" w:rsidRDefault="00DE4B1D" w:rsidP="00DE4B1D">
      <w:pPr>
        <w:pStyle w:val="Default"/>
        <w:rPr>
          <w:sz w:val="23"/>
          <w:szCs w:val="23"/>
        </w:rPr>
      </w:pPr>
      <w:r>
        <w:rPr>
          <w:sz w:val="23"/>
          <w:szCs w:val="23"/>
        </w:rPr>
        <w:t xml:space="preserve">On behalf of the National Federation Reform Council, the Commission undertook a stocktake of mental health and suicide prevention programs to help inform the development of the new National Mental Health and Suicide Prevention Agreement. </w:t>
      </w:r>
    </w:p>
    <w:p w14:paraId="35016981" w14:textId="77777777" w:rsidR="00DE4B1D" w:rsidRDefault="00DE4B1D" w:rsidP="00DE4B1D">
      <w:pPr>
        <w:pStyle w:val="Default"/>
        <w:rPr>
          <w:sz w:val="23"/>
          <w:szCs w:val="23"/>
        </w:rPr>
      </w:pPr>
      <w:r>
        <w:rPr>
          <w:sz w:val="23"/>
          <w:szCs w:val="23"/>
        </w:rPr>
        <w:t xml:space="preserve">New inquiries referred to us by the Australian Government during the year and currently underway include inquiries into the Right to Repair in Australia and the effectiveness of the Register of Foreign Ownership of Water Entitlements. </w:t>
      </w:r>
    </w:p>
    <w:p w14:paraId="123948C4" w14:textId="77777777" w:rsidR="00DE4B1D" w:rsidRDefault="00DE4B1D" w:rsidP="00DE4B1D">
      <w:pPr>
        <w:pStyle w:val="Default"/>
        <w:rPr>
          <w:sz w:val="23"/>
          <w:szCs w:val="23"/>
        </w:rPr>
      </w:pPr>
      <w:r>
        <w:rPr>
          <w:sz w:val="23"/>
          <w:szCs w:val="23"/>
        </w:rPr>
        <w:t xml:space="preserve">In 2021 we undertook a survey of stakeholders in government, industry, academia and the not-for-profit sector. We conduct these surveys every three years to help gauge the relevance, analytical rigour and clarity of our work, as well as the effectiveness our participatory processes and our openness and transparency. The results of the survey informed the Annual Performance Statement in this Annual Report. </w:t>
      </w:r>
    </w:p>
    <w:p w14:paraId="2D1165A7" w14:textId="77777777" w:rsidR="001C6887" w:rsidRDefault="001C6887" w:rsidP="00DE4B1D">
      <w:pPr>
        <w:pStyle w:val="Default"/>
        <w:rPr>
          <w:sz w:val="23"/>
          <w:szCs w:val="23"/>
        </w:rPr>
      </w:pPr>
    </w:p>
    <w:p w14:paraId="3AA944F2" w14:textId="3840E802" w:rsidR="00DE4B1D" w:rsidRDefault="00DE4B1D" w:rsidP="00DE4B1D">
      <w:pPr>
        <w:pStyle w:val="Default"/>
        <w:rPr>
          <w:sz w:val="23"/>
          <w:szCs w:val="23"/>
        </w:rPr>
      </w:pPr>
      <w:r>
        <w:rPr>
          <w:sz w:val="23"/>
          <w:szCs w:val="23"/>
        </w:rPr>
        <w:t xml:space="preserve">I would like to thank the Commission’s staff and my fellow Commissioners for their hard work over the course of the year. </w:t>
      </w:r>
    </w:p>
    <w:p w14:paraId="0AC6C52B" w14:textId="77777777" w:rsidR="00DE4B1D" w:rsidRDefault="00DE4B1D" w:rsidP="00DE4B1D">
      <w:pPr>
        <w:pStyle w:val="Default"/>
        <w:rPr>
          <w:sz w:val="23"/>
          <w:szCs w:val="23"/>
        </w:rPr>
      </w:pPr>
      <w:r>
        <w:rPr>
          <w:sz w:val="23"/>
          <w:szCs w:val="23"/>
        </w:rPr>
        <w:t xml:space="preserve">Michael Brennan </w:t>
      </w:r>
    </w:p>
    <w:p w14:paraId="431162E3" w14:textId="0BCDC403" w:rsidR="00DE4B1D" w:rsidRDefault="00DE4B1D" w:rsidP="00DE4B1D">
      <w:pPr>
        <w:rPr>
          <w:sz w:val="23"/>
          <w:szCs w:val="23"/>
        </w:rPr>
      </w:pPr>
      <w:r>
        <w:rPr>
          <w:sz w:val="23"/>
          <w:szCs w:val="23"/>
        </w:rPr>
        <w:t>Chair</w:t>
      </w:r>
    </w:p>
    <w:p w14:paraId="6FE563C7" w14:textId="4E31CE71" w:rsidR="00975898" w:rsidRDefault="00975898" w:rsidP="00DE4B1D">
      <w:pPr>
        <w:rPr>
          <w:sz w:val="23"/>
          <w:szCs w:val="23"/>
        </w:rPr>
      </w:pPr>
    </w:p>
    <w:p w14:paraId="67C99659" w14:textId="3B99B13E" w:rsidR="00975898" w:rsidRDefault="00975898" w:rsidP="00DE4B1D">
      <w:pPr>
        <w:rPr>
          <w:sz w:val="23"/>
          <w:szCs w:val="23"/>
        </w:rPr>
      </w:pPr>
    </w:p>
    <w:p w14:paraId="1D7A6ADE" w14:textId="77777777" w:rsidR="00975898" w:rsidRPr="00975898" w:rsidRDefault="00975898" w:rsidP="00975898">
      <w:pPr>
        <w:autoSpaceDE w:val="0"/>
        <w:autoSpaceDN w:val="0"/>
        <w:adjustRightInd w:val="0"/>
        <w:spacing w:after="0" w:line="240" w:lineRule="auto"/>
        <w:rPr>
          <w:rFonts w:ascii="Times New Roman" w:hAnsi="Times New Roman" w:cs="Times New Roman"/>
          <w:color w:val="000000"/>
          <w:sz w:val="52"/>
          <w:szCs w:val="52"/>
        </w:rPr>
      </w:pPr>
      <w:r w:rsidRPr="00975898">
        <w:rPr>
          <w:rFonts w:ascii="Times New Roman" w:hAnsi="Times New Roman" w:cs="Times New Roman"/>
          <w:color w:val="000000"/>
          <w:sz w:val="52"/>
          <w:szCs w:val="52"/>
        </w:rPr>
        <w:lastRenderedPageBreak/>
        <w:t xml:space="preserve">Foreword </w:t>
      </w:r>
    </w:p>
    <w:p w14:paraId="7C628403" w14:textId="77777777" w:rsidR="00975898" w:rsidRPr="00975898" w:rsidRDefault="00975898" w:rsidP="00975898">
      <w:pPr>
        <w:autoSpaceDE w:val="0"/>
        <w:autoSpaceDN w:val="0"/>
        <w:adjustRightInd w:val="0"/>
        <w:spacing w:after="0" w:line="240" w:lineRule="auto"/>
        <w:rPr>
          <w:rFonts w:ascii="Times New Roman" w:hAnsi="Times New Roman" w:cs="Times New Roman"/>
          <w:color w:val="000000"/>
          <w:sz w:val="23"/>
          <w:szCs w:val="23"/>
        </w:rPr>
      </w:pPr>
      <w:r w:rsidRPr="00975898">
        <w:rPr>
          <w:rFonts w:ascii="Times New Roman" w:hAnsi="Times New Roman" w:cs="Times New Roman"/>
          <w:color w:val="000000"/>
          <w:sz w:val="23"/>
          <w:szCs w:val="23"/>
        </w:rPr>
        <w:t>In 2019</w:t>
      </w:r>
      <w:r w:rsidRPr="00975898">
        <w:rPr>
          <w:rFonts w:ascii="Times New Roman" w:hAnsi="Times New Roman" w:cs="Times New Roman"/>
          <w:color w:val="000000"/>
          <w:sz w:val="23"/>
          <w:szCs w:val="23"/>
        </w:rPr>
        <w:noBreakHyphen/>
        <w:t>20, the Commission continued to provide evidence</w:t>
      </w:r>
      <w:r w:rsidRPr="00975898">
        <w:rPr>
          <w:rFonts w:ascii="Times New Roman" w:hAnsi="Times New Roman" w:cs="Times New Roman"/>
          <w:color w:val="000000"/>
          <w:sz w:val="23"/>
          <w:szCs w:val="23"/>
        </w:rPr>
        <w:noBreakHyphen/>
        <w:t xml:space="preserve">based policy and inform the public debate on a range of topics of significance to the Australian community. </w:t>
      </w:r>
    </w:p>
    <w:p w14:paraId="6A6F5E39" w14:textId="77777777" w:rsidR="00975898" w:rsidRPr="00975898" w:rsidRDefault="00975898" w:rsidP="00975898">
      <w:pPr>
        <w:autoSpaceDE w:val="0"/>
        <w:autoSpaceDN w:val="0"/>
        <w:adjustRightInd w:val="0"/>
        <w:spacing w:after="0" w:line="240" w:lineRule="auto"/>
        <w:rPr>
          <w:rFonts w:ascii="Times New Roman" w:hAnsi="Times New Roman" w:cs="Times New Roman"/>
          <w:color w:val="000000"/>
          <w:sz w:val="23"/>
          <w:szCs w:val="23"/>
        </w:rPr>
      </w:pPr>
      <w:r w:rsidRPr="00975898">
        <w:rPr>
          <w:rFonts w:ascii="Times New Roman" w:hAnsi="Times New Roman" w:cs="Times New Roman"/>
          <w:color w:val="000000"/>
          <w:sz w:val="23"/>
          <w:szCs w:val="23"/>
        </w:rPr>
        <w:t xml:space="preserve">During the year we completed two inquiries commissioned by the Australian Government. The first reviewed national transport regulatory reforms, while the second looked at the role of mental health in social and economic participation. </w:t>
      </w:r>
    </w:p>
    <w:p w14:paraId="4D7EA9B7" w14:textId="77777777" w:rsidR="00975898" w:rsidRPr="00975898" w:rsidRDefault="00975898" w:rsidP="00975898">
      <w:pPr>
        <w:autoSpaceDE w:val="0"/>
        <w:autoSpaceDN w:val="0"/>
        <w:adjustRightInd w:val="0"/>
        <w:spacing w:after="0" w:line="240" w:lineRule="auto"/>
        <w:rPr>
          <w:rFonts w:ascii="Times New Roman" w:hAnsi="Times New Roman" w:cs="Times New Roman"/>
          <w:color w:val="000000"/>
          <w:sz w:val="23"/>
          <w:szCs w:val="23"/>
        </w:rPr>
      </w:pPr>
      <w:r w:rsidRPr="00975898">
        <w:rPr>
          <w:rFonts w:ascii="Times New Roman" w:hAnsi="Times New Roman" w:cs="Times New Roman"/>
          <w:color w:val="000000"/>
          <w:sz w:val="23"/>
          <w:szCs w:val="23"/>
        </w:rPr>
        <w:t xml:space="preserve">We also completed two Government-commissioned studies during the year, reviewing the zone tax offset and related remote area tax concessions and payments, as well as examining government expenditure on children and family services in the Northern Territory. </w:t>
      </w:r>
    </w:p>
    <w:p w14:paraId="0F41B8BC" w14:textId="77777777" w:rsidR="00975898" w:rsidRPr="00975898" w:rsidRDefault="00975898" w:rsidP="00975898">
      <w:pPr>
        <w:autoSpaceDE w:val="0"/>
        <w:autoSpaceDN w:val="0"/>
        <w:adjustRightInd w:val="0"/>
        <w:spacing w:after="0" w:line="240" w:lineRule="auto"/>
        <w:rPr>
          <w:rFonts w:ascii="Times New Roman" w:hAnsi="Times New Roman" w:cs="Times New Roman"/>
          <w:color w:val="000000"/>
          <w:sz w:val="23"/>
          <w:szCs w:val="23"/>
        </w:rPr>
      </w:pPr>
      <w:r w:rsidRPr="00975898">
        <w:rPr>
          <w:rFonts w:ascii="Times New Roman" w:hAnsi="Times New Roman" w:cs="Times New Roman"/>
          <w:color w:val="000000"/>
          <w:sz w:val="23"/>
          <w:szCs w:val="23"/>
        </w:rPr>
        <w:t xml:space="preserve">In addition, the Commission took part in efforts across the Australian Public Service to support the whole-of-government response to the COVID-19 pandemic, providing research and analytical support for the economic response to the crisis, including by deploying staff to other agencies. </w:t>
      </w:r>
    </w:p>
    <w:p w14:paraId="6758C34F" w14:textId="77777777" w:rsidR="00975898" w:rsidRPr="00975898" w:rsidRDefault="00975898" w:rsidP="00975898">
      <w:pPr>
        <w:autoSpaceDE w:val="0"/>
        <w:autoSpaceDN w:val="0"/>
        <w:adjustRightInd w:val="0"/>
        <w:spacing w:after="0" w:line="240" w:lineRule="auto"/>
        <w:rPr>
          <w:rFonts w:ascii="Times New Roman" w:hAnsi="Times New Roman" w:cs="Times New Roman"/>
          <w:color w:val="000000"/>
          <w:sz w:val="23"/>
          <w:szCs w:val="23"/>
        </w:rPr>
      </w:pPr>
      <w:r w:rsidRPr="00975898">
        <w:rPr>
          <w:rFonts w:ascii="Times New Roman" w:hAnsi="Times New Roman" w:cs="Times New Roman"/>
          <w:color w:val="000000"/>
          <w:sz w:val="23"/>
          <w:szCs w:val="23"/>
        </w:rPr>
        <w:t>We also continued to develop a whole</w:t>
      </w:r>
      <w:r w:rsidRPr="00975898">
        <w:rPr>
          <w:rFonts w:ascii="Times New Roman" w:hAnsi="Times New Roman" w:cs="Times New Roman"/>
          <w:color w:val="000000"/>
          <w:sz w:val="23"/>
          <w:szCs w:val="23"/>
        </w:rPr>
        <w:noBreakHyphen/>
        <w:t>of</w:t>
      </w:r>
      <w:r w:rsidRPr="00975898">
        <w:rPr>
          <w:rFonts w:ascii="Times New Roman" w:hAnsi="Times New Roman" w:cs="Times New Roman"/>
          <w:color w:val="000000"/>
          <w:sz w:val="23"/>
          <w:szCs w:val="23"/>
        </w:rPr>
        <w:noBreakHyphen/>
        <w:t xml:space="preserve">government evaluation strategy for policies and programs affecting Aboriginal and Torres Strait Islander people, as well as working on the next </w:t>
      </w:r>
      <w:r w:rsidRPr="00975898">
        <w:rPr>
          <w:rFonts w:ascii="Times New Roman" w:hAnsi="Times New Roman" w:cs="Times New Roman"/>
          <w:i/>
          <w:iCs/>
          <w:color w:val="000000"/>
          <w:sz w:val="23"/>
          <w:szCs w:val="23"/>
        </w:rPr>
        <w:t xml:space="preserve">Overcoming Indigenous Disadvantage: Key Indicators </w:t>
      </w:r>
      <w:r w:rsidRPr="00975898">
        <w:rPr>
          <w:rFonts w:ascii="Times New Roman" w:hAnsi="Times New Roman" w:cs="Times New Roman"/>
          <w:color w:val="000000"/>
          <w:sz w:val="23"/>
          <w:szCs w:val="23"/>
        </w:rPr>
        <w:t xml:space="preserve">report. The Commission is also making changes to its ways of engaging and working with Aboriginal and Torres Strait Islander people and organisations. </w:t>
      </w:r>
    </w:p>
    <w:p w14:paraId="5349A4AF" w14:textId="77777777" w:rsidR="00975898" w:rsidRPr="00975898" w:rsidRDefault="00975898" w:rsidP="00975898">
      <w:pPr>
        <w:autoSpaceDE w:val="0"/>
        <w:autoSpaceDN w:val="0"/>
        <w:adjustRightInd w:val="0"/>
        <w:spacing w:after="0" w:line="240" w:lineRule="auto"/>
        <w:rPr>
          <w:rFonts w:ascii="Times New Roman" w:hAnsi="Times New Roman" w:cs="Times New Roman"/>
          <w:color w:val="000000"/>
          <w:sz w:val="23"/>
          <w:szCs w:val="23"/>
        </w:rPr>
      </w:pPr>
      <w:r w:rsidRPr="00975898">
        <w:rPr>
          <w:rFonts w:ascii="Times New Roman" w:hAnsi="Times New Roman" w:cs="Times New Roman"/>
          <w:color w:val="000000"/>
          <w:sz w:val="23"/>
          <w:szCs w:val="23"/>
        </w:rPr>
        <w:t xml:space="preserve">During the year, we released research that examined the experiences of vulnerable people in the private rental market, and the policies that affect their outcomes. We also published research on the impediments to adopting Integrated Water Cycle Management in urban environments, including the policy and implementation frameworks for urban water. And we progressed research looking at youth incomes. </w:t>
      </w:r>
    </w:p>
    <w:p w14:paraId="4B3FB87F" w14:textId="77777777" w:rsidR="00975898" w:rsidRPr="00975898" w:rsidRDefault="00975898" w:rsidP="00975898">
      <w:pPr>
        <w:autoSpaceDE w:val="0"/>
        <w:autoSpaceDN w:val="0"/>
        <w:adjustRightInd w:val="0"/>
        <w:spacing w:after="0" w:line="240" w:lineRule="auto"/>
        <w:rPr>
          <w:rFonts w:ascii="Times New Roman" w:hAnsi="Times New Roman" w:cs="Times New Roman"/>
          <w:color w:val="000000"/>
          <w:sz w:val="23"/>
          <w:szCs w:val="23"/>
        </w:rPr>
      </w:pPr>
      <w:r w:rsidRPr="00975898">
        <w:rPr>
          <w:rFonts w:ascii="Times New Roman" w:hAnsi="Times New Roman" w:cs="Times New Roman"/>
          <w:color w:val="000000"/>
          <w:sz w:val="23"/>
          <w:szCs w:val="23"/>
        </w:rPr>
        <w:t xml:space="preserve">We continued to fulfil our legislated role to promote public understanding of matters relating to industry, industry development and productivity, including through our annual </w:t>
      </w:r>
      <w:r w:rsidRPr="00975898">
        <w:rPr>
          <w:rFonts w:ascii="Times New Roman" w:hAnsi="Times New Roman" w:cs="Times New Roman"/>
          <w:i/>
          <w:iCs/>
          <w:color w:val="000000"/>
          <w:sz w:val="23"/>
          <w:szCs w:val="23"/>
        </w:rPr>
        <w:t xml:space="preserve">Trade and Assistance Review </w:t>
      </w:r>
      <w:r w:rsidRPr="00975898">
        <w:rPr>
          <w:rFonts w:ascii="Times New Roman" w:hAnsi="Times New Roman" w:cs="Times New Roman"/>
          <w:color w:val="000000"/>
          <w:sz w:val="23"/>
          <w:szCs w:val="23"/>
        </w:rPr>
        <w:t xml:space="preserve">and </w:t>
      </w:r>
      <w:r w:rsidRPr="00975898">
        <w:rPr>
          <w:rFonts w:ascii="Times New Roman" w:hAnsi="Times New Roman" w:cs="Times New Roman"/>
          <w:i/>
          <w:iCs/>
          <w:color w:val="000000"/>
          <w:sz w:val="23"/>
          <w:szCs w:val="23"/>
        </w:rPr>
        <w:t xml:space="preserve">Productivity Insights </w:t>
      </w:r>
      <w:r w:rsidRPr="00975898">
        <w:rPr>
          <w:rFonts w:ascii="Times New Roman" w:hAnsi="Times New Roman" w:cs="Times New Roman"/>
          <w:color w:val="000000"/>
          <w:sz w:val="23"/>
          <w:szCs w:val="23"/>
        </w:rPr>
        <w:t xml:space="preserve">publications. With reporting on foreign investment to be part of the annual </w:t>
      </w:r>
      <w:r w:rsidRPr="00975898">
        <w:rPr>
          <w:rFonts w:ascii="Times New Roman" w:hAnsi="Times New Roman" w:cs="Times New Roman"/>
          <w:i/>
          <w:iCs/>
          <w:color w:val="000000"/>
          <w:sz w:val="23"/>
          <w:szCs w:val="23"/>
        </w:rPr>
        <w:t>Trade and Assistance Review</w:t>
      </w:r>
      <w:r w:rsidRPr="00975898">
        <w:rPr>
          <w:rFonts w:ascii="Times New Roman" w:hAnsi="Times New Roman" w:cs="Times New Roman"/>
          <w:color w:val="000000"/>
          <w:sz w:val="23"/>
          <w:szCs w:val="23"/>
        </w:rPr>
        <w:t xml:space="preserve">, we produced a research paper examining foreign investment in Australia and the Australian Government’s related policies. </w:t>
      </w:r>
    </w:p>
    <w:p w14:paraId="12317A5B" w14:textId="4DA084AF" w:rsidR="00975898" w:rsidRDefault="00975898" w:rsidP="00975898">
      <w:pPr>
        <w:rPr>
          <w:rFonts w:ascii="Times New Roman" w:hAnsi="Times New Roman" w:cs="Times New Roman"/>
          <w:color w:val="000000"/>
          <w:sz w:val="23"/>
          <w:szCs w:val="23"/>
        </w:rPr>
      </w:pPr>
      <w:r w:rsidRPr="00975898">
        <w:rPr>
          <w:rFonts w:ascii="Times New Roman" w:hAnsi="Times New Roman" w:cs="Times New Roman"/>
          <w:color w:val="000000"/>
          <w:sz w:val="23"/>
          <w:szCs w:val="23"/>
        </w:rPr>
        <w:t xml:space="preserve">The 2020 edition of the </w:t>
      </w:r>
      <w:r w:rsidRPr="00975898">
        <w:rPr>
          <w:rFonts w:ascii="Times New Roman" w:hAnsi="Times New Roman" w:cs="Times New Roman"/>
          <w:i/>
          <w:iCs/>
          <w:color w:val="000000"/>
          <w:sz w:val="23"/>
          <w:szCs w:val="23"/>
        </w:rPr>
        <w:t xml:space="preserve">Report on Government Services </w:t>
      </w:r>
      <w:r w:rsidRPr="00975898">
        <w:rPr>
          <w:rFonts w:ascii="Times New Roman" w:hAnsi="Times New Roman" w:cs="Times New Roman"/>
          <w:color w:val="000000"/>
          <w:sz w:val="23"/>
          <w:szCs w:val="23"/>
        </w:rPr>
        <w:t>was published during the year, providing comparative performance information on government service delivery areas. The staged transition of this material to interactive online reporting continued, with three more sectors moving to the new format.</w:t>
      </w:r>
    </w:p>
    <w:p w14:paraId="73ECEA3F" w14:textId="77777777" w:rsidR="0027755A" w:rsidRPr="0027755A" w:rsidRDefault="0027755A" w:rsidP="0027755A">
      <w:pPr>
        <w:autoSpaceDE w:val="0"/>
        <w:autoSpaceDN w:val="0"/>
        <w:adjustRightInd w:val="0"/>
        <w:spacing w:after="0" w:line="240" w:lineRule="auto"/>
        <w:rPr>
          <w:rFonts w:ascii="Times New Roman" w:hAnsi="Times New Roman" w:cs="Times New Roman"/>
          <w:color w:val="000000"/>
          <w:sz w:val="23"/>
          <w:szCs w:val="23"/>
        </w:rPr>
      </w:pPr>
      <w:r w:rsidRPr="0027755A">
        <w:rPr>
          <w:rFonts w:ascii="Times New Roman" w:hAnsi="Times New Roman" w:cs="Times New Roman"/>
          <w:color w:val="000000"/>
          <w:sz w:val="23"/>
          <w:szCs w:val="23"/>
        </w:rPr>
        <w:t xml:space="preserve">New inquiries and studies referred to us by the Australian Government during the year and currently underway include a study on regulation in the resources sector, a review of the National Agreement for Skills and Workforce Development and the second triennial inquiry into the progress of national water reforms. </w:t>
      </w:r>
    </w:p>
    <w:p w14:paraId="62E360A8" w14:textId="77777777" w:rsidR="0027755A" w:rsidRPr="0027755A" w:rsidRDefault="0027755A" w:rsidP="0027755A">
      <w:pPr>
        <w:autoSpaceDE w:val="0"/>
        <w:autoSpaceDN w:val="0"/>
        <w:adjustRightInd w:val="0"/>
        <w:spacing w:after="0" w:line="240" w:lineRule="auto"/>
        <w:rPr>
          <w:rFonts w:ascii="Times New Roman" w:hAnsi="Times New Roman" w:cs="Times New Roman"/>
          <w:color w:val="000000"/>
          <w:sz w:val="23"/>
          <w:szCs w:val="23"/>
        </w:rPr>
      </w:pPr>
      <w:r w:rsidRPr="0027755A">
        <w:rPr>
          <w:rFonts w:ascii="Times New Roman" w:hAnsi="Times New Roman" w:cs="Times New Roman"/>
          <w:color w:val="000000"/>
          <w:sz w:val="23"/>
          <w:szCs w:val="23"/>
        </w:rPr>
        <w:t xml:space="preserve">In 2019-20, the Commission also commenced case studies on productivity reform within Australia for the Council on Federal Financial Relations. These case studies are intended to inform and to diffuse knowledge and practices across governments and identify reform opportunities. </w:t>
      </w:r>
    </w:p>
    <w:p w14:paraId="47FFEAEB" w14:textId="77777777" w:rsidR="0027755A" w:rsidRPr="0027755A" w:rsidRDefault="0027755A" w:rsidP="0027755A">
      <w:pPr>
        <w:autoSpaceDE w:val="0"/>
        <w:autoSpaceDN w:val="0"/>
        <w:adjustRightInd w:val="0"/>
        <w:spacing w:after="0" w:line="240" w:lineRule="auto"/>
        <w:rPr>
          <w:rFonts w:ascii="Times New Roman" w:hAnsi="Times New Roman" w:cs="Times New Roman"/>
          <w:color w:val="000000"/>
          <w:sz w:val="23"/>
          <w:szCs w:val="23"/>
        </w:rPr>
      </w:pPr>
      <w:r w:rsidRPr="0027755A">
        <w:rPr>
          <w:rFonts w:ascii="Times New Roman" w:hAnsi="Times New Roman" w:cs="Times New Roman"/>
          <w:color w:val="000000"/>
          <w:sz w:val="23"/>
          <w:szCs w:val="23"/>
        </w:rPr>
        <w:t xml:space="preserve">I would like to thank the Commission’s staff and my fellow Commissioners for their hard work over the course of the year. </w:t>
      </w:r>
    </w:p>
    <w:p w14:paraId="7770F1AE" w14:textId="77777777" w:rsidR="0027755A" w:rsidRDefault="0027755A" w:rsidP="0027755A">
      <w:pPr>
        <w:autoSpaceDE w:val="0"/>
        <w:autoSpaceDN w:val="0"/>
        <w:adjustRightInd w:val="0"/>
        <w:spacing w:after="0" w:line="240" w:lineRule="auto"/>
        <w:rPr>
          <w:rFonts w:ascii="Times New Roman" w:hAnsi="Times New Roman" w:cs="Times New Roman"/>
          <w:color w:val="000000"/>
          <w:sz w:val="23"/>
          <w:szCs w:val="23"/>
        </w:rPr>
      </w:pPr>
    </w:p>
    <w:p w14:paraId="3FE403B3" w14:textId="1A70E0E8" w:rsidR="0027755A" w:rsidRPr="0027755A" w:rsidRDefault="0027755A" w:rsidP="0027755A">
      <w:pPr>
        <w:autoSpaceDE w:val="0"/>
        <w:autoSpaceDN w:val="0"/>
        <w:adjustRightInd w:val="0"/>
        <w:spacing w:after="0" w:line="240" w:lineRule="auto"/>
        <w:rPr>
          <w:rFonts w:ascii="Times New Roman" w:hAnsi="Times New Roman" w:cs="Times New Roman"/>
          <w:color w:val="000000"/>
          <w:sz w:val="23"/>
          <w:szCs w:val="23"/>
        </w:rPr>
      </w:pPr>
      <w:r w:rsidRPr="0027755A">
        <w:rPr>
          <w:rFonts w:ascii="Times New Roman" w:hAnsi="Times New Roman" w:cs="Times New Roman"/>
          <w:color w:val="000000"/>
          <w:sz w:val="23"/>
          <w:szCs w:val="23"/>
        </w:rPr>
        <w:t xml:space="preserve">Michael Brennan </w:t>
      </w:r>
    </w:p>
    <w:p w14:paraId="220F0B9D" w14:textId="1158993D" w:rsidR="0027755A" w:rsidRDefault="0027755A" w:rsidP="0027755A">
      <w:pPr>
        <w:rPr>
          <w:rFonts w:ascii="Times New Roman" w:hAnsi="Times New Roman" w:cs="Times New Roman"/>
          <w:color w:val="000000"/>
          <w:sz w:val="23"/>
          <w:szCs w:val="23"/>
        </w:rPr>
      </w:pPr>
      <w:r w:rsidRPr="0027755A">
        <w:rPr>
          <w:rFonts w:ascii="Times New Roman" w:hAnsi="Times New Roman" w:cs="Times New Roman"/>
          <w:color w:val="000000"/>
          <w:sz w:val="23"/>
          <w:szCs w:val="23"/>
        </w:rPr>
        <w:t>Chair</w:t>
      </w:r>
    </w:p>
    <w:p w14:paraId="0EFB6FA3" w14:textId="5EF675B6" w:rsidR="00FA08E6" w:rsidRDefault="00FA08E6" w:rsidP="0027755A">
      <w:pPr>
        <w:rPr>
          <w:rFonts w:ascii="Times New Roman" w:hAnsi="Times New Roman" w:cs="Times New Roman"/>
          <w:color w:val="000000"/>
          <w:sz w:val="23"/>
          <w:szCs w:val="23"/>
        </w:rPr>
      </w:pPr>
    </w:p>
    <w:p w14:paraId="300EBB7B" w14:textId="403B3AE5" w:rsidR="00FA08E6" w:rsidRDefault="00FA08E6" w:rsidP="0027755A">
      <w:pPr>
        <w:rPr>
          <w:rFonts w:ascii="Times New Roman" w:hAnsi="Times New Roman" w:cs="Times New Roman"/>
          <w:color w:val="000000"/>
          <w:sz w:val="23"/>
          <w:szCs w:val="23"/>
        </w:rPr>
      </w:pPr>
    </w:p>
    <w:p w14:paraId="3B4F3B88" w14:textId="69ABB02A" w:rsidR="00FA08E6" w:rsidRDefault="00FA08E6" w:rsidP="0027755A">
      <w:pPr>
        <w:rPr>
          <w:rFonts w:ascii="Times New Roman" w:hAnsi="Times New Roman" w:cs="Times New Roman"/>
          <w:color w:val="000000"/>
          <w:sz w:val="23"/>
          <w:szCs w:val="23"/>
        </w:rPr>
      </w:pPr>
    </w:p>
    <w:p w14:paraId="72CEE72C" w14:textId="77777777" w:rsidR="00FA08E6" w:rsidRPr="00FA08E6" w:rsidRDefault="00FA08E6" w:rsidP="00FA08E6">
      <w:pPr>
        <w:autoSpaceDE w:val="0"/>
        <w:autoSpaceDN w:val="0"/>
        <w:adjustRightInd w:val="0"/>
        <w:spacing w:before="240" w:after="0" w:line="240" w:lineRule="auto"/>
        <w:jc w:val="both"/>
        <w:rPr>
          <w:rFonts w:ascii="Times New Roman" w:hAnsi="Times New Roman" w:cs="Times New Roman"/>
          <w:color w:val="000000"/>
          <w:sz w:val="52"/>
          <w:szCs w:val="52"/>
        </w:rPr>
      </w:pPr>
      <w:r w:rsidRPr="00FA08E6">
        <w:rPr>
          <w:rFonts w:ascii="Times New Roman" w:hAnsi="Times New Roman" w:cs="Times New Roman"/>
          <w:color w:val="000000"/>
          <w:sz w:val="52"/>
          <w:szCs w:val="52"/>
        </w:rPr>
        <w:lastRenderedPageBreak/>
        <w:t xml:space="preserve">Foreword </w:t>
      </w:r>
    </w:p>
    <w:p w14:paraId="0687655E" w14:textId="77777777" w:rsidR="00FA08E6" w:rsidRPr="00FA08E6" w:rsidRDefault="00FA08E6" w:rsidP="00FA08E6">
      <w:pPr>
        <w:autoSpaceDE w:val="0"/>
        <w:autoSpaceDN w:val="0"/>
        <w:adjustRightInd w:val="0"/>
        <w:spacing w:before="240" w:after="0" w:line="240" w:lineRule="auto"/>
        <w:jc w:val="both"/>
        <w:rPr>
          <w:rFonts w:ascii="Times New Roman" w:hAnsi="Times New Roman" w:cs="Times New Roman"/>
          <w:color w:val="000000"/>
          <w:sz w:val="26"/>
          <w:szCs w:val="26"/>
        </w:rPr>
      </w:pPr>
      <w:r w:rsidRPr="00FA08E6">
        <w:rPr>
          <w:rFonts w:ascii="Times New Roman" w:hAnsi="Times New Roman" w:cs="Times New Roman"/>
          <w:color w:val="000000"/>
          <w:sz w:val="26"/>
          <w:szCs w:val="26"/>
        </w:rPr>
        <w:t xml:space="preserve">This is my first Annual Report as Chair of the Productivity Commission. One of the more significant events for the Commission in the last twelve months was the retirement of Gary Banks, our inaugural Chair. Gary had a major influence on the wide acceptance today of the Commission’s role as independent adviser on national reform. On behalf of Commissioners and staff, I wish him well. </w:t>
      </w:r>
    </w:p>
    <w:p w14:paraId="0825ADF1" w14:textId="77777777" w:rsidR="002B49D1" w:rsidRDefault="002B49D1" w:rsidP="00FA08E6">
      <w:pPr>
        <w:autoSpaceDE w:val="0"/>
        <w:autoSpaceDN w:val="0"/>
        <w:adjustRightInd w:val="0"/>
        <w:spacing w:after="0" w:line="240" w:lineRule="auto"/>
        <w:rPr>
          <w:rFonts w:ascii="Times New Roman" w:hAnsi="Times New Roman" w:cs="Times New Roman"/>
          <w:color w:val="000000"/>
          <w:sz w:val="26"/>
          <w:szCs w:val="26"/>
        </w:rPr>
      </w:pPr>
    </w:p>
    <w:p w14:paraId="13488DA9" w14:textId="7D03717C" w:rsidR="00FA08E6" w:rsidRPr="00FA08E6" w:rsidRDefault="00FA08E6" w:rsidP="00FA08E6">
      <w:pPr>
        <w:autoSpaceDE w:val="0"/>
        <w:autoSpaceDN w:val="0"/>
        <w:adjustRightInd w:val="0"/>
        <w:spacing w:after="0" w:line="240" w:lineRule="auto"/>
        <w:rPr>
          <w:rFonts w:ascii="Times New Roman" w:hAnsi="Times New Roman" w:cs="Times New Roman"/>
          <w:color w:val="000000"/>
          <w:sz w:val="26"/>
          <w:szCs w:val="26"/>
        </w:rPr>
      </w:pPr>
      <w:r w:rsidRPr="00FA08E6">
        <w:rPr>
          <w:rFonts w:ascii="Times New Roman" w:hAnsi="Times New Roman" w:cs="Times New Roman"/>
          <w:color w:val="000000"/>
          <w:sz w:val="26"/>
          <w:szCs w:val="26"/>
        </w:rPr>
        <w:t xml:space="preserve">On coming to the Commission, I have found a highly competent and committed group of people, who are justifiably proud of the Commission’s contribution to national reform. Equally, transitions of this kind create an opportunity for a re-examination of what organisations do and how they do it, especially in times of significant budget restraint. </w:t>
      </w:r>
    </w:p>
    <w:p w14:paraId="04D597F1" w14:textId="77777777" w:rsidR="002B49D1" w:rsidRDefault="002B49D1" w:rsidP="00FA08E6">
      <w:pPr>
        <w:autoSpaceDE w:val="0"/>
        <w:autoSpaceDN w:val="0"/>
        <w:adjustRightInd w:val="0"/>
        <w:spacing w:after="0" w:line="240" w:lineRule="auto"/>
        <w:rPr>
          <w:rFonts w:ascii="Times New Roman" w:hAnsi="Times New Roman" w:cs="Times New Roman"/>
          <w:color w:val="000000"/>
          <w:sz w:val="26"/>
          <w:szCs w:val="26"/>
        </w:rPr>
      </w:pPr>
    </w:p>
    <w:p w14:paraId="616F3CF2" w14:textId="288EAED3" w:rsidR="00FA08E6" w:rsidRPr="00FA08E6" w:rsidRDefault="00FA08E6" w:rsidP="00FA08E6">
      <w:pPr>
        <w:autoSpaceDE w:val="0"/>
        <w:autoSpaceDN w:val="0"/>
        <w:adjustRightInd w:val="0"/>
        <w:spacing w:after="0" w:line="240" w:lineRule="auto"/>
        <w:rPr>
          <w:rFonts w:ascii="Times New Roman" w:hAnsi="Times New Roman" w:cs="Times New Roman"/>
          <w:color w:val="000000"/>
          <w:sz w:val="26"/>
          <w:szCs w:val="26"/>
        </w:rPr>
      </w:pPr>
      <w:r w:rsidRPr="00FA08E6">
        <w:rPr>
          <w:rFonts w:ascii="Times New Roman" w:hAnsi="Times New Roman" w:cs="Times New Roman"/>
          <w:color w:val="000000"/>
          <w:sz w:val="26"/>
          <w:szCs w:val="26"/>
        </w:rPr>
        <w:t xml:space="preserve">Accordingly, we are undertaking a number of internal reforms to ensure we can continue to provide high quality advice within a reducing resource base. There will be a need to take a more flexible approach and potentially to broaden our range of report products. Nevertheless, consultation and exposure draft processes so critical to the quality of our outputs will remain central to our work. </w:t>
      </w:r>
    </w:p>
    <w:p w14:paraId="37CBC707" w14:textId="77777777" w:rsidR="002B49D1" w:rsidRDefault="00FA08E6" w:rsidP="00FA08E6">
      <w:pPr>
        <w:autoSpaceDE w:val="0"/>
        <w:autoSpaceDN w:val="0"/>
        <w:adjustRightInd w:val="0"/>
        <w:spacing w:before="160" w:after="960" w:line="240" w:lineRule="auto"/>
        <w:ind w:left="907" w:hanging="908"/>
        <w:rPr>
          <w:rFonts w:ascii="Times New Roman" w:hAnsi="Times New Roman" w:cs="Times New Roman"/>
          <w:color w:val="000000"/>
          <w:sz w:val="26"/>
          <w:szCs w:val="26"/>
        </w:rPr>
      </w:pPr>
      <w:r w:rsidRPr="00FA08E6">
        <w:rPr>
          <w:rFonts w:ascii="Times New Roman" w:hAnsi="Times New Roman" w:cs="Times New Roman"/>
          <w:color w:val="000000"/>
          <w:sz w:val="26"/>
          <w:szCs w:val="26"/>
        </w:rPr>
        <w:t>We are also improving our ability to communicate in a world where social media is</w:t>
      </w:r>
    </w:p>
    <w:p w14:paraId="038204BB" w14:textId="60A512B6" w:rsidR="00FA08E6" w:rsidRPr="00FA08E6" w:rsidRDefault="00FA08E6" w:rsidP="00FA08E6">
      <w:pPr>
        <w:autoSpaceDE w:val="0"/>
        <w:autoSpaceDN w:val="0"/>
        <w:adjustRightInd w:val="0"/>
        <w:spacing w:before="160" w:after="960" w:line="240" w:lineRule="auto"/>
        <w:ind w:left="907" w:hanging="908"/>
        <w:rPr>
          <w:rFonts w:ascii="Times New Roman" w:hAnsi="Times New Roman" w:cs="Times New Roman"/>
          <w:color w:val="000000"/>
          <w:sz w:val="26"/>
          <w:szCs w:val="26"/>
        </w:rPr>
      </w:pPr>
      <w:r w:rsidRPr="00FA08E6">
        <w:rPr>
          <w:rFonts w:ascii="Times New Roman" w:hAnsi="Times New Roman" w:cs="Times New Roman"/>
          <w:color w:val="000000"/>
          <w:sz w:val="26"/>
          <w:szCs w:val="26"/>
        </w:rPr>
        <w:t xml:space="preserve">increasingly important. We now use Twitter to inform a wider audience about the availability of our reports. We will also move increasingly toward online reporting as the primary focus and consequently will use this opportunity to improve the information and search functions so important to effective online delivery. Initial changes will be implemented in our Reports on Government Services. </w:t>
      </w:r>
    </w:p>
    <w:p w14:paraId="2DFC343B" w14:textId="77777777" w:rsidR="00FA08E6" w:rsidRPr="00FA08E6" w:rsidRDefault="00FA08E6" w:rsidP="00FA08E6">
      <w:pPr>
        <w:autoSpaceDE w:val="0"/>
        <w:autoSpaceDN w:val="0"/>
        <w:adjustRightInd w:val="0"/>
        <w:spacing w:before="200" w:after="0" w:line="240" w:lineRule="auto"/>
        <w:jc w:val="both"/>
        <w:rPr>
          <w:rFonts w:ascii="Times New Roman" w:hAnsi="Times New Roman" w:cs="Times New Roman"/>
          <w:color w:val="000000"/>
          <w:sz w:val="26"/>
          <w:szCs w:val="26"/>
        </w:rPr>
      </w:pPr>
      <w:r w:rsidRPr="00FA08E6">
        <w:rPr>
          <w:rFonts w:ascii="Times New Roman" w:hAnsi="Times New Roman" w:cs="Times New Roman"/>
          <w:color w:val="000000"/>
          <w:sz w:val="26"/>
          <w:szCs w:val="26"/>
        </w:rPr>
        <w:t xml:space="preserve">Our research program will focus more closely on flagship pieces, which help to outline future directions for reform. Our first effort in this area will look at over-the-horizon policy options that may be consistent with demographic change. </w:t>
      </w:r>
    </w:p>
    <w:p w14:paraId="3F6C7B0C" w14:textId="77777777" w:rsidR="00FA08E6" w:rsidRPr="00FA08E6" w:rsidRDefault="00FA08E6" w:rsidP="00FA08E6">
      <w:pPr>
        <w:autoSpaceDE w:val="0"/>
        <w:autoSpaceDN w:val="0"/>
        <w:adjustRightInd w:val="0"/>
        <w:spacing w:before="200" w:after="0" w:line="240" w:lineRule="auto"/>
        <w:jc w:val="both"/>
        <w:rPr>
          <w:rFonts w:ascii="Times New Roman" w:hAnsi="Times New Roman" w:cs="Times New Roman"/>
          <w:color w:val="000000"/>
          <w:sz w:val="26"/>
          <w:szCs w:val="26"/>
        </w:rPr>
      </w:pPr>
      <w:r w:rsidRPr="00FA08E6">
        <w:rPr>
          <w:rFonts w:ascii="Times New Roman" w:hAnsi="Times New Roman" w:cs="Times New Roman"/>
          <w:color w:val="000000"/>
          <w:sz w:val="26"/>
          <w:szCs w:val="26"/>
        </w:rPr>
        <w:t xml:space="preserve">We expect that the Commission’s program of work is likely to expand as the momentum for productivity enhancing reform increases. With a slowing of national income growth as the terms of trade declines, productivity growth becomes, again, the paramount source of sustainable growth. </w:t>
      </w:r>
    </w:p>
    <w:p w14:paraId="3FB95D5E" w14:textId="77777777" w:rsidR="00FA08E6" w:rsidRPr="00FA08E6" w:rsidRDefault="00FA08E6" w:rsidP="00FA08E6">
      <w:pPr>
        <w:autoSpaceDE w:val="0"/>
        <w:autoSpaceDN w:val="0"/>
        <w:adjustRightInd w:val="0"/>
        <w:spacing w:before="200" w:after="0" w:line="240" w:lineRule="auto"/>
        <w:jc w:val="both"/>
        <w:rPr>
          <w:rFonts w:ascii="Times New Roman" w:hAnsi="Times New Roman" w:cs="Times New Roman"/>
          <w:color w:val="000000"/>
          <w:sz w:val="26"/>
          <w:szCs w:val="26"/>
        </w:rPr>
      </w:pPr>
      <w:r w:rsidRPr="00FA08E6">
        <w:rPr>
          <w:rFonts w:ascii="Times New Roman" w:hAnsi="Times New Roman" w:cs="Times New Roman"/>
          <w:color w:val="000000"/>
          <w:sz w:val="26"/>
          <w:szCs w:val="26"/>
        </w:rPr>
        <w:t xml:space="preserve">The Commission looks forward to contributing to a strong national reform agenda. </w:t>
      </w:r>
    </w:p>
    <w:p w14:paraId="453FA91A" w14:textId="77777777" w:rsidR="00FA08E6" w:rsidRPr="00FA08E6" w:rsidRDefault="00FA08E6" w:rsidP="00FA08E6">
      <w:pPr>
        <w:autoSpaceDE w:val="0"/>
        <w:autoSpaceDN w:val="0"/>
        <w:adjustRightInd w:val="0"/>
        <w:spacing w:before="200" w:after="0" w:line="240" w:lineRule="auto"/>
        <w:jc w:val="both"/>
        <w:rPr>
          <w:rFonts w:ascii="Times New Roman" w:hAnsi="Times New Roman" w:cs="Times New Roman"/>
          <w:color w:val="000000"/>
          <w:sz w:val="26"/>
          <w:szCs w:val="26"/>
        </w:rPr>
      </w:pPr>
      <w:r w:rsidRPr="00FA08E6">
        <w:rPr>
          <w:rFonts w:ascii="Times New Roman" w:hAnsi="Times New Roman" w:cs="Times New Roman"/>
          <w:color w:val="000000"/>
          <w:sz w:val="26"/>
          <w:szCs w:val="26"/>
        </w:rPr>
        <w:t xml:space="preserve">Peter Harris </w:t>
      </w:r>
    </w:p>
    <w:p w14:paraId="7A921A57" w14:textId="111630D7" w:rsidR="00FA08E6" w:rsidRDefault="00FA08E6" w:rsidP="00FA08E6">
      <w:pPr>
        <w:rPr>
          <w:rFonts w:ascii="Times New Roman" w:hAnsi="Times New Roman" w:cs="Times New Roman"/>
          <w:color w:val="000000"/>
          <w:sz w:val="26"/>
          <w:szCs w:val="26"/>
        </w:rPr>
      </w:pPr>
      <w:r w:rsidRPr="00FA08E6">
        <w:rPr>
          <w:rFonts w:ascii="Times New Roman" w:hAnsi="Times New Roman" w:cs="Times New Roman"/>
          <w:color w:val="000000"/>
          <w:sz w:val="26"/>
          <w:szCs w:val="26"/>
        </w:rPr>
        <w:t>Chair</w:t>
      </w:r>
    </w:p>
    <w:p w14:paraId="1B5C7356" w14:textId="44C16BCE" w:rsidR="00B52DF3" w:rsidRDefault="00B52DF3" w:rsidP="00FA08E6">
      <w:pPr>
        <w:rPr>
          <w:rFonts w:ascii="Times New Roman" w:hAnsi="Times New Roman" w:cs="Times New Roman"/>
          <w:color w:val="000000"/>
          <w:sz w:val="26"/>
          <w:szCs w:val="26"/>
        </w:rPr>
      </w:pPr>
    </w:p>
    <w:p w14:paraId="4B519534" w14:textId="13D5BDCA" w:rsidR="00B52DF3" w:rsidRDefault="00B52DF3" w:rsidP="00FA08E6">
      <w:pPr>
        <w:rPr>
          <w:rFonts w:ascii="Times New Roman" w:hAnsi="Times New Roman" w:cs="Times New Roman"/>
          <w:color w:val="000000"/>
          <w:sz w:val="26"/>
          <w:szCs w:val="26"/>
        </w:rPr>
      </w:pPr>
    </w:p>
    <w:p w14:paraId="09DEB651" w14:textId="4005034A" w:rsidR="00B52DF3" w:rsidRDefault="00B52DF3" w:rsidP="00FA08E6">
      <w:pPr>
        <w:rPr>
          <w:rFonts w:ascii="Times New Roman" w:hAnsi="Times New Roman" w:cs="Times New Roman"/>
          <w:color w:val="000000"/>
          <w:sz w:val="26"/>
          <w:szCs w:val="26"/>
        </w:rPr>
      </w:pPr>
    </w:p>
    <w:p w14:paraId="41ECC218" w14:textId="77777777" w:rsidR="00B52DF3" w:rsidRPr="00B52DF3" w:rsidRDefault="00B52DF3" w:rsidP="002B49D1">
      <w:pPr>
        <w:autoSpaceDE w:val="0"/>
        <w:autoSpaceDN w:val="0"/>
        <w:adjustRightInd w:val="0"/>
        <w:spacing w:before="160" w:after="240" w:line="240" w:lineRule="auto"/>
        <w:rPr>
          <w:rFonts w:ascii="Times New Roman" w:hAnsi="Times New Roman" w:cs="Times New Roman"/>
          <w:color w:val="000000"/>
          <w:sz w:val="52"/>
          <w:szCs w:val="52"/>
        </w:rPr>
      </w:pPr>
      <w:r w:rsidRPr="00B52DF3">
        <w:rPr>
          <w:rFonts w:ascii="Times New Roman" w:hAnsi="Times New Roman" w:cs="Times New Roman"/>
          <w:color w:val="000000"/>
          <w:sz w:val="52"/>
          <w:szCs w:val="52"/>
        </w:rPr>
        <w:t xml:space="preserve">Foreword </w:t>
      </w:r>
    </w:p>
    <w:p w14:paraId="32DEFD1E" w14:textId="77777777" w:rsidR="00B52DF3" w:rsidRPr="00B52DF3" w:rsidRDefault="00B52DF3" w:rsidP="00B52DF3">
      <w:pPr>
        <w:autoSpaceDE w:val="0"/>
        <w:autoSpaceDN w:val="0"/>
        <w:adjustRightInd w:val="0"/>
        <w:spacing w:before="240" w:after="0" w:line="240" w:lineRule="auto"/>
        <w:jc w:val="both"/>
        <w:rPr>
          <w:rFonts w:ascii="Times New Roman" w:hAnsi="Times New Roman" w:cs="Times New Roman"/>
          <w:color w:val="000000"/>
          <w:sz w:val="23"/>
          <w:szCs w:val="23"/>
        </w:rPr>
      </w:pPr>
      <w:r w:rsidRPr="00B52DF3">
        <w:rPr>
          <w:rFonts w:ascii="Times New Roman" w:hAnsi="Times New Roman" w:cs="Times New Roman"/>
          <w:color w:val="000000"/>
          <w:sz w:val="23"/>
          <w:szCs w:val="23"/>
        </w:rPr>
        <w:t xml:space="preserve">2013-14 has been an unusual year. </w:t>
      </w:r>
    </w:p>
    <w:p w14:paraId="2FA13F0B" w14:textId="77777777" w:rsidR="00B52DF3" w:rsidRPr="00B52DF3" w:rsidRDefault="00B52DF3" w:rsidP="00B52DF3">
      <w:pPr>
        <w:autoSpaceDE w:val="0"/>
        <w:autoSpaceDN w:val="0"/>
        <w:adjustRightInd w:val="0"/>
        <w:spacing w:after="0" w:line="240" w:lineRule="auto"/>
        <w:jc w:val="center"/>
        <w:rPr>
          <w:rFonts w:ascii="Times New Roman" w:hAnsi="Times New Roman" w:cs="Times New Roman"/>
          <w:color w:val="000000"/>
          <w:sz w:val="23"/>
          <w:szCs w:val="23"/>
        </w:rPr>
      </w:pPr>
      <w:r w:rsidRPr="00B52DF3">
        <w:rPr>
          <w:rFonts w:ascii="Times New Roman" w:hAnsi="Times New Roman" w:cs="Times New Roman"/>
          <w:color w:val="000000"/>
          <w:sz w:val="23"/>
          <w:szCs w:val="23"/>
        </w:rPr>
        <w:t xml:space="preserve">In an intense period between October and May, inquiries were commenced and completed into: </w:t>
      </w:r>
    </w:p>
    <w:p w14:paraId="57FC45FD" w14:textId="77777777" w:rsidR="00B52DF3" w:rsidRPr="00B52DF3" w:rsidRDefault="00B52DF3" w:rsidP="00B52DF3">
      <w:pPr>
        <w:autoSpaceDE w:val="0"/>
        <w:autoSpaceDN w:val="0"/>
        <w:adjustRightInd w:val="0"/>
        <w:spacing w:after="36" w:line="240" w:lineRule="auto"/>
        <w:rPr>
          <w:rFonts w:ascii="Times New Roman" w:hAnsi="Times New Roman" w:cs="Times New Roman"/>
          <w:color w:val="000000"/>
          <w:sz w:val="23"/>
          <w:szCs w:val="23"/>
        </w:rPr>
      </w:pPr>
      <w:r w:rsidRPr="00B52DF3">
        <w:rPr>
          <w:rFonts w:ascii="Times New Roman" w:hAnsi="Times New Roman" w:cs="Times New Roman"/>
          <w:color w:val="000000"/>
          <w:sz w:val="18"/>
          <w:szCs w:val="18"/>
        </w:rPr>
        <w:t xml:space="preserve">• </w:t>
      </w:r>
      <w:r w:rsidRPr="00B52DF3">
        <w:rPr>
          <w:rFonts w:ascii="Times New Roman" w:hAnsi="Times New Roman" w:cs="Times New Roman"/>
          <w:color w:val="000000"/>
          <w:sz w:val="23"/>
          <w:szCs w:val="23"/>
        </w:rPr>
        <w:t xml:space="preserve">Infrastructure Costs and Finance; </w:t>
      </w:r>
    </w:p>
    <w:p w14:paraId="0415CF35" w14:textId="77777777" w:rsidR="00B52DF3" w:rsidRPr="00B52DF3" w:rsidRDefault="00B52DF3" w:rsidP="00B52DF3">
      <w:pPr>
        <w:autoSpaceDE w:val="0"/>
        <w:autoSpaceDN w:val="0"/>
        <w:adjustRightInd w:val="0"/>
        <w:spacing w:before="160" w:after="1360" w:line="240" w:lineRule="auto"/>
        <w:ind w:left="907" w:hanging="908"/>
        <w:rPr>
          <w:rFonts w:ascii="Times New Roman" w:hAnsi="Times New Roman" w:cs="Times New Roman"/>
          <w:color w:val="000000"/>
          <w:sz w:val="23"/>
          <w:szCs w:val="23"/>
        </w:rPr>
      </w:pPr>
      <w:r w:rsidRPr="00B52DF3">
        <w:rPr>
          <w:rFonts w:ascii="Times New Roman" w:hAnsi="Times New Roman" w:cs="Times New Roman"/>
          <w:color w:val="000000"/>
          <w:sz w:val="18"/>
          <w:szCs w:val="18"/>
        </w:rPr>
        <w:t xml:space="preserve">• </w:t>
      </w:r>
      <w:r w:rsidRPr="00B52DF3">
        <w:rPr>
          <w:rFonts w:ascii="Times New Roman" w:hAnsi="Times New Roman" w:cs="Times New Roman"/>
          <w:color w:val="000000"/>
          <w:sz w:val="23"/>
          <w:szCs w:val="23"/>
        </w:rPr>
        <w:t xml:space="preserve">Motor Vehicles; and </w:t>
      </w:r>
    </w:p>
    <w:p w14:paraId="53BAE4FE" w14:textId="77777777" w:rsidR="00B52DF3" w:rsidRPr="00B52DF3" w:rsidRDefault="00B52DF3" w:rsidP="00B52DF3">
      <w:pPr>
        <w:autoSpaceDE w:val="0"/>
        <w:autoSpaceDN w:val="0"/>
        <w:adjustRightInd w:val="0"/>
        <w:spacing w:before="240" w:after="1360" w:line="240" w:lineRule="auto"/>
        <w:ind w:left="907" w:hanging="908"/>
        <w:jc w:val="both"/>
        <w:rPr>
          <w:rFonts w:ascii="Times New Roman" w:hAnsi="Times New Roman" w:cs="Times New Roman"/>
          <w:color w:val="000000"/>
          <w:sz w:val="23"/>
          <w:szCs w:val="23"/>
        </w:rPr>
      </w:pPr>
      <w:r w:rsidRPr="00B52DF3">
        <w:rPr>
          <w:rFonts w:ascii="Times New Roman" w:hAnsi="Times New Roman" w:cs="Times New Roman"/>
          <w:color w:val="000000"/>
          <w:sz w:val="18"/>
          <w:szCs w:val="18"/>
        </w:rPr>
        <w:t xml:space="preserve">• </w:t>
      </w:r>
      <w:r w:rsidRPr="00B52DF3">
        <w:rPr>
          <w:rFonts w:ascii="Times New Roman" w:hAnsi="Times New Roman" w:cs="Times New Roman"/>
          <w:color w:val="000000"/>
          <w:sz w:val="23"/>
          <w:szCs w:val="23"/>
        </w:rPr>
        <w:t xml:space="preserve">Tasmanian Shipping and Freight. </w:t>
      </w:r>
    </w:p>
    <w:p w14:paraId="43EFBBB7" w14:textId="77777777" w:rsidR="00B52DF3" w:rsidRPr="00B52DF3" w:rsidRDefault="00B52DF3" w:rsidP="00B52DF3">
      <w:pPr>
        <w:autoSpaceDE w:val="0"/>
        <w:autoSpaceDN w:val="0"/>
        <w:adjustRightInd w:val="0"/>
        <w:spacing w:after="0" w:line="240" w:lineRule="auto"/>
        <w:rPr>
          <w:rFonts w:ascii="Times New Roman" w:hAnsi="Times New Roman" w:cs="Times New Roman"/>
          <w:color w:val="000000"/>
          <w:sz w:val="23"/>
          <w:szCs w:val="23"/>
        </w:rPr>
      </w:pPr>
    </w:p>
    <w:p w14:paraId="5F013458" w14:textId="77777777" w:rsidR="00B52DF3" w:rsidRPr="00B52DF3" w:rsidRDefault="00B52DF3" w:rsidP="00B52DF3">
      <w:pPr>
        <w:autoSpaceDE w:val="0"/>
        <w:autoSpaceDN w:val="0"/>
        <w:adjustRightInd w:val="0"/>
        <w:spacing w:before="240" w:after="0" w:line="240" w:lineRule="auto"/>
        <w:jc w:val="both"/>
        <w:rPr>
          <w:rFonts w:ascii="Times New Roman" w:hAnsi="Times New Roman" w:cs="Times New Roman"/>
          <w:color w:val="000000"/>
          <w:sz w:val="23"/>
          <w:szCs w:val="23"/>
        </w:rPr>
      </w:pPr>
      <w:r w:rsidRPr="00B52DF3">
        <w:rPr>
          <w:rFonts w:ascii="Times New Roman" w:hAnsi="Times New Roman" w:cs="Times New Roman"/>
          <w:color w:val="000000"/>
          <w:sz w:val="23"/>
          <w:szCs w:val="23"/>
        </w:rPr>
        <w:t xml:space="preserve">In the same period, studies and inquiries referred to us by the previous Government were completed into: </w:t>
      </w:r>
    </w:p>
    <w:p w14:paraId="4C41FE24" w14:textId="77777777" w:rsidR="00B52DF3" w:rsidRPr="00B52DF3" w:rsidRDefault="00B52DF3" w:rsidP="00B52DF3">
      <w:pPr>
        <w:autoSpaceDE w:val="0"/>
        <w:autoSpaceDN w:val="0"/>
        <w:adjustRightInd w:val="0"/>
        <w:spacing w:before="80" w:after="0" w:line="240" w:lineRule="auto"/>
        <w:ind w:left="340" w:hanging="340"/>
        <w:jc w:val="both"/>
        <w:rPr>
          <w:rFonts w:ascii="Times New Roman" w:hAnsi="Times New Roman" w:cs="Times New Roman"/>
          <w:color w:val="000000"/>
          <w:sz w:val="23"/>
          <w:szCs w:val="23"/>
        </w:rPr>
      </w:pPr>
      <w:r w:rsidRPr="00B52DF3">
        <w:rPr>
          <w:rFonts w:ascii="Times New Roman" w:hAnsi="Times New Roman" w:cs="Times New Roman"/>
          <w:color w:val="000000"/>
          <w:sz w:val="18"/>
          <w:szCs w:val="18"/>
        </w:rPr>
        <w:t xml:space="preserve">• </w:t>
      </w:r>
      <w:r w:rsidRPr="00B52DF3">
        <w:rPr>
          <w:rFonts w:ascii="Times New Roman" w:hAnsi="Times New Roman" w:cs="Times New Roman"/>
          <w:color w:val="000000"/>
          <w:sz w:val="23"/>
          <w:szCs w:val="23"/>
        </w:rPr>
        <w:t xml:space="preserve">SPC Ardmona’s call for emergency tariff assistance; </w:t>
      </w:r>
    </w:p>
    <w:p w14:paraId="1ABF93AE" w14:textId="77777777" w:rsidR="00B52DF3" w:rsidRPr="00B52DF3" w:rsidRDefault="00B52DF3" w:rsidP="00B52DF3">
      <w:pPr>
        <w:autoSpaceDE w:val="0"/>
        <w:autoSpaceDN w:val="0"/>
        <w:adjustRightInd w:val="0"/>
        <w:spacing w:before="80" w:after="0" w:line="240" w:lineRule="auto"/>
        <w:ind w:left="340" w:hanging="340"/>
        <w:jc w:val="both"/>
        <w:rPr>
          <w:rFonts w:ascii="Times New Roman" w:hAnsi="Times New Roman" w:cs="Times New Roman"/>
          <w:color w:val="000000"/>
          <w:sz w:val="23"/>
          <w:szCs w:val="23"/>
        </w:rPr>
      </w:pPr>
      <w:r w:rsidRPr="00B52DF3">
        <w:rPr>
          <w:rFonts w:ascii="Times New Roman" w:hAnsi="Times New Roman" w:cs="Times New Roman"/>
          <w:color w:val="000000"/>
          <w:sz w:val="18"/>
          <w:szCs w:val="18"/>
        </w:rPr>
        <w:t xml:space="preserve">• </w:t>
      </w:r>
      <w:r w:rsidRPr="00B52DF3">
        <w:rPr>
          <w:rFonts w:ascii="Times New Roman" w:hAnsi="Times New Roman" w:cs="Times New Roman"/>
          <w:color w:val="000000"/>
          <w:sz w:val="23"/>
          <w:szCs w:val="23"/>
        </w:rPr>
        <w:t xml:space="preserve">Labour Mobility; </w:t>
      </w:r>
    </w:p>
    <w:p w14:paraId="42914391" w14:textId="77777777" w:rsidR="00B52DF3" w:rsidRPr="00B52DF3" w:rsidRDefault="00B52DF3" w:rsidP="00B52DF3">
      <w:pPr>
        <w:autoSpaceDE w:val="0"/>
        <w:autoSpaceDN w:val="0"/>
        <w:adjustRightInd w:val="0"/>
        <w:spacing w:before="80" w:after="0" w:line="240" w:lineRule="auto"/>
        <w:ind w:left="340" w:hanging="340"/>
        <w:jc w:val="both"/>
        <w:rPr>
          <w:rFonts w:ascii="Times New Roman" w:hAnsi="Times New Roman" w:cs="Times New Roman"/>
          <w:color w:val="000000"/>
          <w:sz w:val="23"/>
          <w:szCs w:val="23"/>
        </w:rPr>
      </w:pPr>
      <w:r w:rsidRPr="00B52DF3">
        <w:rPr>
          <w:rFonts w:ascii="Times New Roman" w:hAnsi="Times New Roman" w:cs="Times New Roman"/>
          <w:color w:val="000000"/>
          <w:sz w:val="18"/>
          <w:szCs w:val="18"/>
        </w:rPr>
        <w:t xml:space="preserve">• </w:t>
      </w:r>
      <w:r w:rsidRPr="00B52DF3">
        <w:rPr>
          <w:rFonts w:ascii="Times New Roman" w:hAnsi="Times New Roman" w:cs="Times New Roman"/>
          <w:color w:val="000000"/>
          <w:sz w:val="23"/>
          <w:szCs w:val="23"/>
        </w:rPr>
        <w:t xml:space="preserve">the Access Regime in the Competition and Consumer Act; </w:t>
      </w:r>
    </w:p>
    <w:p w14:paraId="59D9E4D8" w14:textId="77777777" w:rsidR="00B52DF3" w:rsidRPr="00B52DF3" w:rsidRDefault="00B52DF3" w:rsidP="00B52DF3">
      <w:pPr>
        <w:autoSpaceDE w:val="0"/>
        <w:autoSpaceDN w:val="0"/>
        <w:adjustRightInd w:val="0"/>
        <w:spacing w:before="240" w:after="0" w:line="240" w:lineRule="auto"/>
        <w:ind w:left="340" w:hanging="340"/>
        <w:jc w:val="both"/>
        <w:rPr>
          <w:rFonts w:ascii="Times New Roman" w:hAnsi="Times New Roman" w:cs="Times New Roman"/>
          <w:color w:val="000000"/>
          <w:sz w:val="23"/>
          <w:szCs w:val="23"/>
        </w:rPr>
      </w:pPr>
      <w:r w:rsidRPr="00B52DF3">
        <w:rPr>
          <w:rFonts w:ascii="Times New Roman" w:hAnsi="Times New Roman" w:cs="Times New Roman"/>
          <w:color w:val="000000"/>
          <w:sz w:val="18"/>
          <w:szCs w:val="18"/>
        </w:rPr>
        <w:t xml:space="preserve">• </w:t>
      </w:r>
      <w:r w:rsidRPr="00B52DF3">
        <w:rPr>
          <w:rFonts w:ascii="Times New Roman" w:hAnsi="Times New Roman" w:cs="Times New Roman"/>
          <w:color w:val="000000"/>
          <w:sz w:val="23"/>
          <w:szCs w:val="23"/>
        </w:rPr>
        <w:t xml:space="preserve">Major Project Assessments; and </w:t>
      </w:r>
    </w:p>
    <w:p w14:paraId="172D2423" w14:textId="77777777" w:rsidR="00B52DF3" w:rsidRPr="00B52DF3" w:rsidRDefault="00B52DF3" w:rsidP="00B52DF3">
      <w:pPr>
        <w:autoSpaceDE w:val="0"/>
        <w:autoSpaceDN w:val="0"/>
        <w:adjustRightInd w:val="0"/>
        <w:spacing w:before="80" w:after="0" w:line="240" w:lineRule="auto"/>
        <w:ind w:left="340" w:hanging="340"/>
        <w:jc w:val="both"/>
        <w:rPr>
          <w:rFonts w:ascii="Times New Roman" w:hAnsi="Times New Roman" w:cs="Times New Roman"/>
          <w:color w:val="000000"/>
          <w:sz w:val="23"/>
          <w:szCs w:val="23"/>
        </w:rPr>
      </w:pPr>
      <w:r w:rsidRPr="00B52DF3">
        <w:rPr>
          <w:rFonts w:ascii="Times New Roman" w:hAnsi="Times New Roman" w:cs="Times New Roman"/>
          <w:color w:val="000000"/>
          <w:sz w:val="18"/>
          <w:szCs w:val="18"/>
        </w:rPr>
        <w:t xml:space="preserve">• </w:t>
      </w:r>
      <w:r w:rsidRPr="00B52DF3">
        <w:rPr>
          <w:rFonts w:ascii="Times New Roman" w:hAnsi="Times New Roman" w:cs="Times New Roman"/>
          <w:color w:val="000000"/>
          <w:sz w:val="23"/>
          <w:szCs w:val="23"/>
        </w:rPr>
        <w:t xml:space="preserve">Regulator Engagement with Small Business. </w:t>
      </w:r>
    </w:p>
    <w:p w14:paraId="39D01B3F" w14:textId="77777777" w:rsidR="00B52DF3" w:rsidRPr="00B52DF3" w:rsidRDefault="00B52DF3" w:rsidP="00B52DF3">
      <w:pPr>
        <w:autoSpaceDE w:val="0"/>
        <w:autoSpaceDN w:val="0"/>
        <w:adjustRightInd w:val="0"/>
        <w:spacing w:after="0" w:line="240" w:lineRule="auto"/>
        <w:rPr>
          <w:rFonts w:ascii="Times New Roman" w:hAnsi="Times New Roman" w:cs="Times New Roman"/>
          <w:color w:val="000000"/>
          <w:sz w:val="23"/>
          <w:szCs w:val="23"/>
        </w:rPr>
      </w:pPr>
    </w:p>
    <w:p w14:paraId="7FB21321" w14:textId="77777777" w:rsidR="00B52DF3" w:rsidRPr="00B52DF3" w:rsidRDefault="00B52DF3" w:rsidP="00B52DF3">
      <w:pPr>
        <w:autoSpaceDE w:val="0"/>
        <w:autoSpaceDN w:val="0"/>
        <w:adjustRightInd w:val="0"/>
        <w:spacing w:before="80" w:after="0" w:line="240" w:lineRule="auto"/>
        <w:ind w:left="340" w:hanging="340"/>
        <w:jc w:val="both"/>
        <w:rPr>
          <w:rFonts w:ascii="Times New Roman" w:hAnsi="Times New Roman" w:cs="Times New Roman"/>
          <w:color w:val="000000"/>
          <w:sz w:val="23"/>
          <w:szCs w:val="23"/>
        </w:rPr>
      </w:pPr>
      <w:r w:rsidRPr="00B52DF3">
        <w:rPr>
          <w:rFonts w:ascii="Times New Roman" w:hAnsi="Times New Roman" w:cs="Times New Roman"/>
          <w:color w:val="000000"/>
          <w:sz w:val="23"/>
          <w:szCs w:val="23"/>
        </w:rPr>
        <w:t xml:space="preserve">And we released our first flagship research paper, on An Ageing Australia. </w:t>
      </w:r>
    </w:p>
    <w:p w14:paraId="6D94D19F" w14:textId="77777777" w:rsidR="00B52DF3" w:rsidRPr="00B52DF3" w:rsidRDefault="00B52DF3" w:rsidP="00B52DF3">
      <w:pPr>
        <w:autoSpaceDE w:val="0"/>
        <w:autoSpaceDN w:val="0"/>
        <w:adjustRightInd w:val="0"/>
        <w:spacing w:before="80" w:after="0" w:line="240" w:lineRule="auto"/>
        <w:ind w:left="340" w:hanging="340"/>
        <w:jc w:val="both"/>
        <w:rPr>
          <w:rFonts w:ascii="Times New Roman" w:hAnsi="Times New Roman" w:cs="Times New Roman"/>
          <w:color w:val="000000"/>
          <w:sz w:val="23"/>
          <w:szCs w:val="23"/>
        </w:rPr>
      </w:pPr>
      <w:r w:rsidRPr="00B52DF3">
        <w:rPr>
          <w:rFonts w:ascii="Times New Roman" w:hAnsi="Times New Roman" w:cs="Times New Roman"/>
          <w:color w:val="000000"/>
          <w:sz w:val="23"/>
          <w:szCs w:val="23"/>
        </w:rPr>
        <w:t xml:space="preserve">Moreover, two major inquiries continued throughout that period: </w:t>
      </w:r>
    </w:p>
    <w:p w14:paraId="013AABB0" w14:textId="77777777" w:rsidR="00B52DF3" w:rsidRPr="00B52DF3" w:rsidRDefault="00B52DF3" w:rsidP="00B52DF3">
      <w:pPr>
        <w:autoSpaceDE w:val="0"/>
        <w:autoSpaceDN w:val="0"/>
        <w:adjustRightInd w:val="0"/>
        <w:spacing w:before="80" w:after="0" w:line="240" w:lineRule="auto"/>
        <w:ind w:left="340" w:hanging="340"/>
        <w:jc w:val="both"/>
        <w:rPr>
          <w:rFonts w:ascii="Times New Roman" w:hAnsi="Times New Roman" w:cs="Times New Roman"/>
          <w:color w:val="000000"/>
          <w:sz w:val="23"/>
          <w:szCs w:val="23"/>
        </w:rPr>
      </w:pPr>
      <w:r w:rsidRPr="00B52DF3">
        <w:rPr>
          <w:rFonts w:ascii="Times New Roman" w:hAnsi="Times New Roman" w:cs="Times New Roman"/>
          <w:color w:val="000000"/>
          <w:sz w:val="18"/>
          <w:szCs w:val="18"/>
        </w:rPr>
        <w:t xml:space="preserve">• </w:t>
      </w:r>
      <w:r w:rsidRPr="00B52DF3">
        <w:rPr>
          <w:rFonts w:ascii="Times New Roman" w:hAnsi="Times New Roman" w:cs="Times New Roman"/>
          <w:color w:val="000000"/>
          <w:sz w:val="23"/>
          <w:szCs w:val="23"/>
        </w:rPr>
        <w:t xml:space="preserve">Access to Justice; and </w:t>
      </w:r>
    </w:p>
    <w:p w14:paraId="42D93A35" w14:textId="77777777" w:rsidR="00B52DF3" w:rsidRPr="00B52DF3" w:rsidRDefault="00B52DF3" w:rsidP="00B52DF3">
      <w:pPr>
        <w:autoSpaceDE w:val="0"/>
        <w:autoSpaceDN w:val="0"/>
        <w:adjustRightInd w:val="0"/>
        <w:spacing w:before="80" w:after="0" w:line="240" w:lineRule="auto"/>
        <w:ind w:left="340" w:hanging="340"/>
        <w:jc w:val="both"/>
        <w:rPr>
          <w:rFonts w:ascii="Times New Roman" w:hAnsi="Times New Roman" w:cs="Times New Roman"/>
          <w:color w:val="000000"/>
          <w:sz w:val="23"/>
          <w:szCs w:val="23"/>
        </w:rPr>
      </w:pPr>
      <w:r w:rsidRPr="00B52DF3">
        <w:rPr>
          <w:rFonts w:ascii="Times New Roman" w:hAnsi="Times New Roman" w:cs="Times New Roman"/>
          <w:color w:val="000000"/>
          <w:sz w:val="18"/>
          <w:szCs w:val="18"/>
        </w:rPr>
        <w:t xml:space="preserve">• </w:t>
      </w:r>
      <w:r w:rsidRPr="00B52DF3">
        <w:rPr>
          <w:rFonts w:ascii="Times New Roman" w:hAnsi="Times New Roman" w:cs="Times New Roman"/>
          <w:color w:val="000000"/>
          <w:sz w:val="23"/>
          <w:szCs w:val="23"/>
        </w:rPr>
        <w:t xml:space="preserve">Early Education and Child Care. </w:t>
      </w:r>
    </w:p>
    <w:p w14:paraId="229AD0BC" w14:textId="77777777" w:rsidR="00B52DF3" w:rsidRPr="00B52DF3" w:rsidRDefault="00B52DF3" w:rsidP="00B52DF3">
      <w:pPr>
        <w:autoSpaceDE w:val="0"/>
        <w:autoSpaceDN w:val="0"/>
        <w:adjustRightInd w:val="0"/>
        <w:spacing w:after="0" w:line="240" w:lineRule="auto"/>
        <w:rPr>
          <w:rFonts w:ascii="Times New Roman" w:hAnsi="Times New Roman" w:cs="Times New Roman"/>
          <w:color w:val="000000"/>
          <w:sz w:val="23"/>
          <w:szCs w:val="23"/>
        </w:rPr>
      </w:pPr>
    </w:p>
    <w:p w14:paraId="28467432" w14:textId="77777777" w:rsidR="00B52DF3" w:rsidRPr="00B52DF3" w:rsidRDefault="00B52DF3" w:rsidP="00B52DF3">
      <w:pPr>
        <w:autoSpaceDE w:val="0"/>
        <w:autoSpaceDN w:val="0"/>
        <w:adjustRightInd w:val="0"/>
        <w:spacing w:before="240" w:after="0" w:line="240" w:lineRule="auto"/>
        <w:jc w:val="both"/>
        <w:rPr>
          <w:rFonts w:ascii="Times New Roman" w:hAnsi="Times New Roman" w:cs="Times New Roman"/>
          <w:color w:val="000000"/>
          <w:sz w:val="23"/>
          <w:szCs w:val="23"/>
        </w:rPr>
      </w:pPr>
      <w:r w:rsidRPr="00B52DF3">
        <w:rPr>
          <w:rFonts w:ascii="Times New Roman" w:hAnsi="Times New Roman" w:cs="Times New Roman"/>
          <w:color w:val="000000"/>
          <w:sz w:val="23"/>
          <w:szCs w:val="23"/>
        </w:rPr>
        <w:t xml:space="preserve">And another commenced (on National Disaster Funding Arrangements). </w:t>
      </w:r>
    </w:p>
    <w:p w14:paraId="31E468F9" w14:textId="77777777" w:rsidR="00B52DF3" w:rsidRPr="00B52DF3" w:rsidRDefault="00B52DF3" w:rsidP="00B52DF3">
      <w:pPr>
        <w:autoSpaceDE w:val="0"/>
        <w:autoSpaceDN w:val="0"/>
        <w:adjustRightInd w:val="0"/>
        <w:spacing w:before="240" w:after="0" w:line="240" w:lineRule="auto"/>
        <w:jc w:val="both"/>
        <w:rPr>
          <w:rFonts w:ascii="Times New Roman" w:hAnsi="Times New Roman" w:cs="Times New Roman"/>
          <w:color w:val="000000"/>
          <w:sz w:val="23"/>
          <w:szCs w:val="23"/>
        </w:rPr>
      </w:pPr>
      <w:r w:rsidRPr="00B52DF3">
        <w:rPr>
          <w:rFonts w:ascii="Times New Roman" w:hAnsi="Times New Roman" w:cs="Times New Roman"/>
          <w:color w:val="000000"/>
          <w:sz w:val="23"/>
          <w:szCs w:val="23"/>
        </w:rPr>
        <w:t xml:space="preserve">At the same time, the Commission reduced its staff level by around 10 per cent and reduced its expenditure on a range of administrative costs and sponsorship of economic forums. </w:t>
      </w:r>
    </w:p>
    <w:p w14:paraId="11083D2E" w14:textId="77777777" w:rsidR="002B49D1" w:rsidRDefault="002B49D1" w:rsidP="00B52DF3">
      <w:pPr>
        <w:autoSpaceDE w:val="0"/>
        <w:autoSpaceDN w:val="0"/>
        <w:adjustRightInd w:val="0"/>
        <w:spacing w:before="80" w:after="0" w:line="240" w:lineRule="auto"/>
        <w:ind w:left="340" w:hanging="340"/>
        <w:jc w:val="both"/>
        <w:rPr>
          <w:rFonts w:ascii="Times New Roman" w:hAnsi="Times New Roman" w:cs="Times New Roman"/>
          <w:color w:val="000000"/>
          <w:sz w:val="23"/>
          <w:szCs w:val="23"/>
        </w:rPr>
      </w:pPr>
    </w:p>
    <w:p w14:paraId="0D53DFED" w14:textId="77777777" w:rsidR="002B49D1" w:rsidRDefault="00B52DF3" w:rsidP="00B52DF3">
      <w:pPr>
        <w:autoSpaceDE w:val="0"/>
        <w:autoSpaceDN w:val="0"/>
        <w:adjustRightInd w:val="0"/>
        <w:spacing w:before="80" w:after="0" w:line="240" w:lineRule="auto"/>
        <w:ind w:left="340" w:hanging="340"/>
        <w:jc w:val="both"/>
        <w:rPr>
          <w:rFonts w:ascii="Times New Roman" w:hAnsi="Times New Roman" w:cs="Times New Roman"/>
          <w:color w:val="000000"/>
          <w:sz w:val="23"/>
          <w:szCs w:val="23"/>
        </w:rPr>
      </w:pPr>
      <w:r w:rsidRPr="00B52DF3">
        <w:rPr>
          <w:rFonts w:ascii="Times New Roman" w:hAnsi="Times New Roman" w:cs="Times New Roman"/>
          <w:color w:val="000000"/>
          <w:sz w:val="23"/>
          <w:szCs w:val="23"/>
        </w:rPr>
        <w:t>However, the rate of new work being referred to us has decreased since May. We are consequently</w:t>
      </w:r>
    </w:p>
    <w:p w14:paraId="3D3EFA0A" w14:textId="77777777" w:rsidR="002B49D1" w:rsidRDefault="00B52DF3" w:rsidP="00B52DF3">
      <w:pPr>
        <w:autoSpaceDE w:val="0"/>
        <w:autoSpaceDN w:val="0"/>
        <w:adjustRightInd w:val="0"/>
        <w:spacing w:before="80" w:after="0" w:line="240" w:lineRule="auto"/>
        <w:ind w:left="340" w:hanging="340"/>
        <w:jc w:val="both"/>
        <w:rPr>
          <w:rFonts w:ascii="Times New Roman" w:hAnsi="Times New Roman" w:cs="Times New Roman"/>
          <w:color w:val="000000"/>
          <w:sz w:val="23"/>
          <w:szCs w:val="23"/>
        </w:rPr>
      </w:pPr>
      <w:r w:rsidRPr="00B52DF3">
        <w:rPr>
          <w:rFonts w:ascii="Times New Roman" w:hAnsi="Times New Roman" w:cs="Times New Roman"/>
          <w:color w:val="000000"/>
          <w:sz w:val="23"/>
          <w:szCs w:val="23"/>
        </w:rPr>
        <w:t>now making new research tasks the order of the day. The 2014 flagship research project on public</w:t>
      </w:r>
    </w:p>
    <w:p w14:paraId="38253A94" w14:textId="77777777" w:rsidR="002B49D1" w:rsidRDefault="00B52DF3" w:rsidP="00B52DF3">
      <w:pPr>
        <w:autoSpaceDE w:val="0"/>
        <w:autoSpaceDN w:val="0"/>
        <w:adjustRightInd w:val="0"/>
        <w:spacing w:before="80" w:after="0" w:line="240" w:lineRule="auto"/>
        <w:ind w:left="340" w:hanging="340"/>
        <w:jc w:val="both"/>
        <w:rPr>
          <w:rFonts w:ascii="Times New Roman" w:hAnsi="Times New Roman" w:cs="Times New Roman"/>
          <w:color w:val="000000"/>
          <w:sz w:val="23"/>
          <w:szCs w:val="23"/>
        </w:rPr>
      </w:pPr>
      <w:r w:rsidRPr="00B52DF3">
        <w:rPr>
          <w:rFonts w:ascii="Times New Roman" w:hAnsi="Times New Roman" w:cs="Times New Roman"/>
          <w:color w:val="000000"/>
          <w:sz w:val="23"/>
          <w:szCs w:val="23"/>
        </w:rPr>
        <w:lastRenderedPageBreak/>
        <w:t>housing policy will accordingly be supplemented by additional similar projects, with publication</w:t>
      </w:r>
    </w:p>
    <w:p w14:paraId="5BB0D30C" w14:textId="77777777" w:rsidR="002B49D1" w:rsidRDefault="00B52DF3" w:rsidP="00B52DF3">
      <w:pPr>
        <w:autoSpaceDE w:val="0"/>
        <w:autoSpaceDN w:val="0"/>
        <w:adjustRightInd w:val="0"/>
        <w:spacing w:before="80" w:after="0" w:line="240" w:lineRule="auto"/>
        <w:ind w:left="340" w:hanging="340"/>
        <w:jc w:val="both"/>
        <w:rPr>
          <w:rFonts w:ascii="Times New Roman" w:hAnsi="Times New Roman" w:cs="Times New Roman"/>
          <w:color w:val="000000"/>
          <w:sz w:val="23"/>
          <w:szCs w:val="23"/>
        </w:rPr>
      </w:pPr>
      <w:r w:rsidRPr="00B52DF3">
        <w:rPr>
          <w:rFonts w:ascii="Times New Roman" w:hAnsi="Times New Roman" w:cs="Times New Roman"/>
          <w:color w:val="000000"/>
          <w:sz w:val="23"/>
          <w:szCs w:val="23"/>
        </w:rPr>
        <w:t>dates in the first quarter of 2015, in order that we continue to develop and publish significant public</w:t>
      </w:r>
    </w:p>
    <w:p w14:paraId="229BE4E3" w14:textId="028C4E9F" w:rsidR="00B52DF3" w:rsidRPr="00B52DF3" w:rsidRDefault="00B52DF3" w:rsidP="00B52DF3">
      <w:pPr>
        <w:autoSpaceDE w:val="0"/>
        <w:autoSpaceDN w:val="0"/>
        <w:adjustRightInd w:val="0"/>
        <w:spacing w:before="80" w:after="0" w:line="240" w:lineRule="auto"/>
        <w:ind w:left="340" w:hanging="340"/>
        <w:jc w:val="both"/>
        <w:rPr>
          <w:rFonts w:ascii="Times New Roman" w:hAnsi="Times New Roman" w:cs="Times New Roman"/>
          <w:color w:val="000000"/>
          <w:sz w:val="23"/>
          <w:szCs w:val="23"/>
        </w:rPr>
      </w:pPr>
      <w:r w:rsidRPr="00B52DF3">
        <w:rPr>
          <w:rFonts w:ascii="Times New Roman" w:hAnsi="Times New Roman" w:cs="Times New Roman"/>
          <w:color w:val="000000"/>
          <w:sz w:val="23"/>
          <w:szCs w:val="23"/>
        </w:rPr>
        <w:t xml:space="preserve">policy input work. </w:t>
      </w:r>
    </w:p>
    <w:p w14:paraId="132320A5" w14:textId="77777777" w:rsidR="002B49D1" w:rsidRDefault="002B49D1" w:rsidP="002B49D1">
      <w:pPr>
        <w:pStyle w:val="Default"/>
        <w:spacing w:before="80"/>
        <w:ind w:left="340" w:hanging="340"/>
        <w:jc w:val="both"/>
        <w:rPr>
          <w:sz w:val="23"/>
          <w:szCs w:val="23"/>
        </w:rPr>
      </w:pPr>
    </w:p>
    <w:p w14:paraId="7D383572" w14:textId="77777777" w:rsidR="002B49D1" w:rsidRDefault="00B52DF3" w:rsidP="002B49D1">
      <w:pPr>
        <w:pStyle w:val="Default"/>
        <w:spacing w:before="80"/>
        <w:ind w:left="340" w:hanging="340"/>
        <w:jc w:val="both"/>
        <w:rPr>
          <w:sz w:val="23"/>
          <w:szCs w:val="23"/>
        </w:rPr>
      </w:pPr>
      <w:r w:rsidRPr="00B52DF3">
        <w:rPr>
          <w:sz w:val="23"/>
          <w:szCs w:val="23"/>
        </w:rPr>
        <w:t>There can be a perception, due to their high profile, that traditional areas of operation – tariff reform,</w:t>
      </w:r>
    </w:p>
    <w:p w14:paraId="48AEBAC7" w14:textId="77777777" w:rsidR="002B49D1" w:rsidRDefault="00B52DF3" w:rsidP="002B49D1">
      <w:pPr>
        <w:pStyle w:val="Default"/>
        <w:spacing w:before="80"/>
        <w:ind w:left="340" w:hanging="340"/>
        <w:jc w:val="both"/>
        <w:rPr>
          <w:sz w:val="23"/>
          <w:szCs w:val="23"/>
        </w:rPr>
      </w:pPr>
      <w:r w:rsidRPr="00B52DF3">
        <w:rPr>
          <w:sz w:val="23"/>
          <w:szCs w:val="23"/>
        </w:rPr>
        <w:t>policies that affect markets and assistance to industry – remain dominant. However, micro</w:t>
      </w:r>
    </w:p>
    <w:p w14:paraId="2339D740" w14:textId="77777777" w:rsidR="002B49D1" w:rsidRDefault="00B52DF3" w:rsidP="002B49D1">
      <w:pPr>
        <w:pStyle w:val="Default"/>
        <w:spacing w:before="80"/>
        <w:ind w:left="340" w:hanging="340"/>
        <w:jc w:val="both"/>
        <w:rPr>
          <w:sz w:val="23"/>
          <w:szCs w:val="23"/>
        </w:rPr>
      </w:pPr>
      <w:r w:rsidRPr="00B52DF3">
        <w:rPr>
          <w:sz w:val="23"/>
          <w:szCs w:val="23"/>
        </w:rPr>
        <w:t>economic policy has generally been more soundly-based in the past two</w:t>
      </w:r>
      <w:r w:rsidR="002B49D1">
        <w:rPr>
          <w:sz w:val="23"/>
          <w:szCs w:val="23"/>
        </w:rPr>
        <w:t xml:space="preserve"> </w:t>
      </w:r>
      <w:r w:rsidR="002B49D1" w:rsidRPr="002B49D1">
        <w:rPr>
          <w:sz w:val="23"/>
          <w:szCs w:val="23"/>
        </w:rPr>
        <w:t>decades than in preceding</w:t>
      </w:r>
    </w:p>
    <w:p w14:paraId="2032DF10" w14:textId="23CDA4D9" w:rsidR="002B49D1" w:rsidRPr="002B49D1" w:rsidRDefault="002B49D1" w:rsidP="002B49D1">
      <w:pPr>
        <w:pStyle w:val="Default"/>
        <w:spacing w:before="80"/>
        <w:ind w:left="340" w:hanging="340"/>
        <w:jc w:val="both"/>
        <w:rPr>
          <w:sz w:val="23"/>
          <w:szCs w:val="23"/>
        </w:rPr>
      </w:pPr>
      <w:r w:rsidRPr="002B49D1">
        <w:rPr>
          <w:sz w:val="23"/>
          <w:szCs w:val="23"/>
        </w:rPr>
        <w:t xml:space="preserve">periods, slowly reducing the scope for what may be seen as our traditional work areas. </w:t>
      </w:r>
    </w:p>
    <w:p w14:paraId="5AA41E89" w14:textId="77777777" w:rsidR="002B49D1" w:rsidRPr="002B49D1" w:rsidRDefault="002B49D1" w:rsidP="002B49D1">
      <w:pPr>
        <w:autoSpaceDE w:val="0"/>
        <w:autoSpaceDN w:val="0"/>
        <w:adjustRightInd w:val="0"/>
        <w:spacing w:before="240" w:after="0" w:line="240" w:lineRule="auto"/>
        <w:jc w:val="both"/>
        <w:rPr>
          <w:rFonts w:ascii="Times New Roman" w:hAnsi="Times New Roman" w:cs="Times New Roman"/>
          <w:color w:val="000000"/>
          <w:sz w:val="23"/>
          <w:szCs w:val="23"/>
        </w:rPr>
      </w:pPr>
      <w:r w:rsidRPr="002B49D1">
        <w:rPr>
          <w:rFonts w:ascii="Times New Roman" w:hAnsi="Times New Roman" w:cs="Times New Roman"/>
          <w:color w:val="000000"/>
          <w:sz w:val="23"/>
          <w:szCs w:val="23"/>
        </w:rPr>
        <w:t xml:space="preserve">While the claims of firms seeking special assistance will always require continuous scrutiny - and examples have arisen again this year – they are unlikely to be the main game in the future for an organisation with ability to design detailed and effective policy responses to broader social and economic needs. </w:t>
      </w:r>
    </w:p>
    <w:p w14:paraId="653450AC" w14:textId="77777777" w:rsidR="002B49D1" w:rsidRPr="002B49D1" w:rsidRDefault="002B49D1" w:rsidP="002B49D1">
      <w:pPr>
        <w:autoSpaceDE w:val="0"/>
        <w:autoSpaceDN w:val="0"/>
        <w:adjustRightInd w:val="0"/>
        <w:spacing w:before="240" w:after="0" w:line="240" w:lineRule="auto"/>
        <w:jc w:val="both"/>
        <w:rPr>
          <w:rFonts w:ascii="Times New Roman" w:hAnsi="Times New Roman" w:cs="Times New Roman"/>
          <w:color w:val="000000"/>
          <w:sz w:val="23"/>
          <w:szCs w:val="23"/>
        </w:rPr>
      </w:pPr>
      <w:r w:rsidRPr="002B49D1">
        <w:rPr>
          <w:rFonts w:ascii="Times New Roman" w:hAnsi="Times New Roman" w:cs="Times New Roman"/>
          <w:color w:val="000000"/>
          <w:sz w:val="23"/>
          <w:szCs w:val="23"/>
        </w:rPr>
        <w:t xml:space="preserve">It is our hope that the Government will increasingly choose to call on the Commission for advice on social reform; and in the services sectors. The Commission has produced work that the Government has chosen to adopt as a basis for the development of significant social policy initiatives. </w:t>
      </w:r>
    </w:p>
    <w:p w14:paraId="2307CDB3" w14:textId="77777777" w:rsidR="002B49D1" w:rsidRPr="002B49D1" w:rsidRDefault="002B49D1" w:rsidP="002B49D1">
      <w:pPr>
        <w:autoSpaceDE w:val="0"/>
        <w:autoSpaceDN w:val="0"/>
        <w:adjustRightInd w:val="0"/>
        <w:spacing w:before="240" w:after="0" w:line="240" w:lineRule="auto"/>
        <w:jc w:val="both"/>
        <w:rPr>
          <w:rFonts w:ascii="Times New Roman" w:hAnsi="Times New Roman" w:cs="Times New Roman"/>
          <w:color w:val="000000"/>
          <w:sz w:val="23"/>
          <w:szCs w:val="23"/>
        </w:rPr>
      </w:pPr>
      <w:r w:rsidRPr="002B49D1">
        <w:rPr>
          <w:rFonts w:ascii="Times New Roman" w:hAnsi="Times New Roman" w:cs="Times New Roman"/>
          <w:color w:val="000000"/>
          <w:sz w:val="23"/>
          <w:szCs w:val="23"/>
        </w:rPr>
        <w:t xml:space="preserve">Many services – private and public – are provided where markets are not easily discerned or are weakened by poor incentives for efficiency and government purchasing arrangements. </w:t>
      </w:r>
    </w:p>
    <w:p w14:paraId="7D6AFF20" w14:textId="77777777" w:rsidR="002B49D1" w:rsidRPr="002B49D1" w:rsidRDefault="002B49D1" w:rsidP="002B49D1">
      <w:pPr>
        <w:autoSpaceDE w:val="0"/>
        <w:autoSpaceDN w:val="0"/>
        <w:adjustRightInd w:val="0"/>
        <w:spacing w:before="240" w:after="0" w:line="240" w:lineRule="auto"/>
        <w:jc w:val="both"/>
        <w:rPr>
          <w:rFonts w:ascii="Times New Roman" w:hAnsi="Times New Roman" w:cs="Times New Roman"/>
          <w:color w:val="000000"/>
          <w:sz w:val="23"/>
          <w:szCs w:val="23"/>
        </w:rPr>
      </w:pPr>
      <w:r w:rsidRPr="002B49D1">
        <w:rPr>
          <w:rFonts w:ascii="Times New Roman" w:hAnsi="Times New Roman" w:cs="Times New Roman"/>
          <w:color w:val="000000"/>
          <w:sz w:val="23"/>
          <w:szCs w:val="23"/>
        </w:rPr>
        <w:t xml:space="preserve">These areas have been at the forefront of some of our most prominent recent work; and the need for good analysis is likely to grow as governments (State, as well as Federal) come under more pressure to improve both the quality but also the efficient targeting of health, education and training, aged care, wealth management, transport and housing. </w:t>
      </w:r>
    </w:p>
    <w:p w14:paraId="0CCA6A2F" w14:textId="77777777" w:rsidR="002B49D1" w:rsidRPr="002B49D1" w:rsidRDefault="002B49D1" w:rsidP="002B49D1">
      <w:pPr>
        <w:autoSpaceDE w:val="0"/>
        <w:autoSpaceDN w:val="0"/>
        <w:adjustRightInd w:val="0"/>
        <w:spacing w:before="240" w:after="0" w:line="240" w:lineRule="auto"/>
        <w:jc w:val="both"/>
        <w:rPr>
          <w:rFonts w:ascii="Times New Roman" w:hAnsi="Times New Roman" w:cs="Times New Roman"/>
          <w:color w:val="000000"/>
          <w:sz w:val="23"/>
          <w:szCs w:val="23"/>
        </w:rPr>
      </w:pPr>
      <w:r w:rsidRPr="002B49D1">
        <w:rPr>
          <w:rFonts w:ascii="Times New Roman" w:hAnsi="Times New Roman" w:cs="Times New Roman"/>
          <w:color w:val="000000"/>
          <w:sz w:val="23"/>
          <w:szCs w:val="23"/>
        </w:rPr>
        <w:t xml:space="preserve">The Commission is ready and able to provide this analysis. </w:t>
      </w:r>
    </w:p>
    <w:p w14:paraId="4C5854C8" w14:textId="77777777" w:rsidR="002B49D1" w:rsidRPr="002B49D1" w:rsidRDefault="002B49D1" w:rsidP="002B49D1">
      <w:pPr>
        <w:autoSpaceDE w:val="0"/>
        <w:autoSpaceDN w:val="0"/>
        <w:adjustRightInd w:val="0"/>
        <w:spacing w:before="240" w:after="0" w:line="240" w:lineRule="auto"/>
        <w:jc w:val="both"/>
        <w:rPr>
          <w:rFonts w:ascii="Times New Roman" w:hAnsi="Times New Roman" w:cs="Times New Roman"/>
          <w:color w:val="000000"/>
          <w:sz w:val="23"/>
          <w:szCs w:val="23"/>
        </w:rPr>
      </w:pPr>
      <w:r w:rsidRPr="002B49D1">
        <w:rPr>
          <w:rFonts w:ascii="Times New Roman" w:hAnsi="Times New Roman" w:cs="Times New Roman"/>
          <w:color w:val="000000"/>
          <w:sz w:val="23"/>
          <w:szCs w:val="23"/>
        </w:rPr>
        <w:t xml:space="preserve">Peter Harris </w:t>
      </w:r>
    </w:p>
    <w:p w14:paraId="1B5BFAC3" w14:textId="73B94FF9" w:rsidR="00B52DF3" w:rsidRDefault="002B49D1" w:rsidP="002B49D1">
      <w:r w:rsidRPr="002B49D1">
        <w:rPr>
          <w:rFonts w:ascii="Times New Roman" w:hAnsi="Times New Roman" w:cs="Times New Roman"/>
          <w:color w:val="000000"/>
          <w:sz w:val="23"/>
          <w:szCs w:val="23"/>
        </w:rPr>
        <w:t>Chair</w:t>
      </w:r>
    </w:p>
    <w:sectPr w:rsidR="00B52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Cordia New"/>
    <w:panose1 w:val="020B0304020202020204"/>
    <w:charset w:val="DE"/>
    <w:family w:val="swiss"/>
    <w:pitch w:val="variable"/>
    <w:sig w:usb0="81000003" w:usb1="00000000" w:usb2="00000000" w:usb3="00000000" w:csb0="00010001" w:csb1="00000000"/>
  </w:font>
  <w:font w:name="Times New Roman">
    <w:altName w:val="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1D"/>
    <w:rsid w:val="001C6887"/>
    <w:rsid w:val="00214E8F"/>
    <w:rsid w:val="0027755A"/>
    <w:rsid w:val="002B49D1"/>
    <w:rsid w:val="00326538"/>
    <w:rsid w:val="003A27AB"/>
    <w:rsid w:val="00975898"/>
    <w:rsid w:val="00B52DF3"/>
    <w:rsid w:val="00DE4B1D"/>
    <w:rsid w:val="00FA08E6"/>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F266"/>
  <w15:chartTrackingRefBased/>
  <w15:docId w15:val="{2B8D8593-8599-4FC8-ADCD-1C665702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MY"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B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1815</Words>
  <Characters>10350</Characters>
  <Application>Microsoft Office Word</Application>
  <DocSecurity>0</DocSecurity>
  <Lines>86</Lines>
  <Paragraphs>24</Paragraphs>
  <ScaleCrop>false</ScaleCrop>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Nor Aishah Hassan</dc:creator>
  <cp:keywords/>
  <dc:description/>
  <cp:lastModifiedBy>Dr. Nor Aishah Hassan</cp:lastModifiedBy>
  <cp:revision>8</cp:revision>
  <dcterms:created xsi:type="dcterms:W3CDTF">2021-11-16T07:18:00Z</dcterms:created>
  <dcterms:modified xsi:type="dcterms:W3CDTF">2021-11-16T07:25:00Z</dcterms:modified>
</cp:coreProperties>
</file>