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78B4" w14:textId="05ED4019" w:rsidR="009A5073" w:rsidRPr="001671D5" w:rsidRDefault="00AE2093">
      <w:pPr>
        <w:rPr>
          <w:rFonts w:ascii="Arial" w:hAnsi="Arial" w:cs="Arial"/>
          <w:b/>
          <w:bCs/>
          <w:sz w:val="24"/>
          <w:szCs w:val="24"/>
        </w:rPr>
      </w:pPr>
      <w:r w:rsidRPr="001671D5">
        <w:rPr>
          <w:rFonts w:ascii="Arial" w:hAnsi="Arial" w:cs="Arial"/>
          <w:b/>
          <w:bCs/>
          <w:sz w:val="24"/>
          <w:szCs w:val="24"/>
        </w:rPr>
        <w:t xml:space="preserve">PILLAR </w:t>
      </w:r>
      <w:r w:rsidR="00D46062">
        <w:rPr>
          <w:rFonts w:ascii="Arial" w:hAnsi="Arial" w:cs="Arial"/>
          <w:b/>
          <w:bCs/>
          <w:sz w:val="24"/>
          <w:szCs w:val="24"/>
        </w:rPr>
        <w:t>1 TRADE</w:t>
      </w:r>
      <w:r w:rsidRPr="001671D5">
        <w:rPr>
          <w:rFonts w:ascii="Arial" w:hAnsi="Arial" w:cs="Arial"/>
          <w:b/>
          <w:bCs/>
          <w:sz w:val="24"/>
          <w:szCs w:val="24"/>
        </w:rPr>
        <w:t xml:space="preserve"> (</w:t>
      </w:r>
      <w:r w:rsidR="00525616" w:rsidRPr="001671D5">
        <w:rPr>
          <w:rFonts w:ascii="Arial" w:hAnsi="Arial" w:cs="Arial"/>
          <w:b/>
          <w:bCs/>
          <w:sz w:val="24"/>
          <w:szCs w:val="24"/>
        </w:rPr>
        <w:t>GRP</w:t>
      </w:r>
      <w:r w:rsidRPr="001671D5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63"/>
        <w:gridCol w:w="5431"/>
        <w:gridCol w:w="5163"/>
        <w:gridCol w:w="5164"/>
      </w:tblGrid>
      <w:tr w:rsidR="00B43247" w:rsidRPr="00D82436" w14:paraId="75089D25" w14:textId="77777777" w:rsidTr="00A2652A">
        <w:tc>
          <w:tcPr>
            <w:tcW w:w="1250" w:type="pct"/>
          </w:tcPr>
          <w:p w14:paraId="3A1295FD" w14:textId="77777777" w:rsidR="00B43247" w:rsidRPr="00D82436" w:rsidRDefault="00B43247" w:rsidP="00A265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436">
              <w:rPr>
                <w:rFonts w:ascii="Arial" w:hAnsi="Arial" w:cs="Arial"/>
                <w:b/>
                <w:bCs/>
                <w:sz w:val="24"/>
                <w:szCs w:val="24"/>
              </w:rPr>
              <w:t>13 September 2023</w:t>
            </w:r>
          </w:p>
        </w:tc>
        <w:tc>
          <w:tcPr>
            <w:tcW w:w="1250" w:type="pct"/>
          </w:tcPr>
          <w:p w14:paraId="7610E3C6" w14:textId="77777777" w:rsidR="00B43247" w:rsidRPr="00D82436" w:rsidRDefault="00B43247" w:rsidP="00A2652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8243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14 September 2023</w:t>
            </w:r>
          </w:p>
        </w:tc>
        <w:tc>
          <w:tcPr>
            <w:tcW w:w="1250" w:type="pct"/>
          </w:tcPr>
          <w:p w14:paraId="00FF241C" w14:textId="77777777" w:rsidR="00B43247" w:rsidRPr="00D82436" w:rsidRDefault="00B43247" w:rsidP="00A2652A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D8243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15 September 2023</w:t>
            </w:r>
          </w:p>
        </w:tc>
        <w:tc>
          <w:tcPr>
            <w:tcW w:w="1250" w:type="pct"/>
          </w:tcPr>
          <w:p w14:paraId="5718FF57" w14:textId="77777777" w:rsidR="00B43247" w:rsidRPr="00D82436" w:rsidRDefault="00B43247" w:rsidP="00A2652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D82436">
              <w:rPr>
                <w:rFonts w:ascii="Arial" w:hAnsi="Arial" w:cs="Arial"/>
                <w:b/>
                <w:bCs/>
                <w:color w:val="BFBFBF" w:themeColor="background1" w:themeShade="BF"/>
                <w:sz w:val="24"/>
                <w:szCs w:val="24"/>
              </w:rPr>
              <w:t>16 September 2023</w:t>
            </w:r>
          </w:p>
        </w:tc>
      </w:tr>
      <w:tr w:rsidR="00A2652A" w:rsidRPr="001671D5" w14:paraId="1F974DB1" w14:textId="77777777" w:rsidTr="00A2652A">
        <w:tc>
          <w:tcPr>
            <w:tcW w:w="1250" w:type="pct"/>
          </w:tcPr>
          <w:p w14:paraId="0F8DD39A" w14:textId="77777777" w:rsidR="004464B7" w:rsidRDefault="004464B7" w:rsidP="004464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8C48A9" w14:textId="16106F63" w:rsidR="00A2652A" w:rsidRPr="001671D5" w:rsidRDefault="00A2652A" w:rsidP="004464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71D5">
              <w:rPr>
                <w:rFonts w:ascii="Arial" w:hAnsi="Arial" w:cs="Arial"/>
                <w:b/>
                <w:bCs/>
                <w:sz w:val="24"/>
                <w:szCs w:val="24"/>
              </w:rPr>
              <w:t>SUMMARY OF REPORT:</w:t>
            </w:r>
          </w:p>
          <w:p w14:paraId="42CC2834" w14:textId="77777777" w:rsidR="00A2652A" w:rsidRPr="001671D5" w:rsidRDefault="00A2652A" w:rsidP="004464B7">
            <w:pPr>
              <w:pStyle w:val="ListParagraph"/>
              <w:numPr>
                <w:ilvl w:val="0"/>
                <w:numId w:val="3"/>
              </w:numPr>
              <w:ind w:left="709"/>
              <w:rPr>
                <w:rFonts w:ascii="Arial" w:hAnsi="Arial" w:cs="Arial"/>
                <w:sz w:val="24"/>
                <w:szCs w:val="24"/>
              </w:rPr>
            </w:pPr>
            <w:r w:rsidRPr="001671D5">
              <w:rPr>
                <w:rFonts w:ascii="Arial" w:hAnsi="Arial" w:cs="Arial"/>
                <w:sz w:val="24"/>
                <w:szCs w:val="24"/>
              </w:rPr>
              <w:t>Attended by all IPEF partners.</w:t>
            </w:r>
          </w:p>
          <w:p w14:paraId="2D2F1E32" w14:textId="77777777" w:rsidR="00A2652A" w:rsidRPr="001671D5" w:rsidRDefault="00A2652A" w:rsidP="004464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671D5">
              <w:rPr>
                <w:rFonts w:ascii="Arial" w:hAnsi="Arial" w:cs="Arial"/>
                <w:sz w:val="24"/>
                <w:szCs w:val="24"/>
              </w:rPr>
              <w:t>Malaysia rep from MPC</w:t>
            </w:r>
          </w:p>
          <w:p w14:paraId="03A62CB3" w14:textId="77777777" w:rsidR="00A2652A" w:rsidRPr="001671D5" w:rsidRDefault="00A2652A" w:rsidP="004464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671D5">
              <w:rPr>
                <w:rFonts w:ascii="Arial" w:hAnsi="Arial" w:cs="Arial"/>
                <w:sz w:val="24"/>
                <w:szCs w:val="24"/>
              </w:rPr>
              <w:t xml:space="preserve">Chair / USTR </w:t>
            </w:r>
          </w:p>
          <w:p w14:paraId="72A40472" w14:textId="77777777" w:rsidR="00A2652A" w:rsidRPr="001671D5" w:rsidRDefault="00A2652A" w:rsidP="004464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0D03F80" w14:textId="77777777" w:rsidR="004464B7" w:rsidRDefault="004464B7" w:rsidP="004464B7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FAB6D7A" w14:textId="4EFB7BFC" w:rsidR="00947B78" w:rsidRPr="0003217F" w:rsidRDefault="00947B78" w:rsidP="004464B7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3217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SUMMARY OF REPORT:</w:t>
            </w:r>
          </w:p>
          <w:p w14:paraId="6E93F0CE" w14:textId="77777777" w:rsidR="00947B78" w:rsidRPr="0003217F" w:rsidRDefault="00947B78" w:rsidP="004464B7">
            <w:pPr>
              <w:pStyle w:val="ListParagraph"/>
              <w:numPr>
                <w:ilvl w:val="0"/>
                <w:numId w:val="3"/>
              </w:numPr>
              <w:ind w:left="709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217F">
              <w:rPr>
                <w:rFonts w:ascii="Arial" w:hAnsi="Arial" w:cs="Arial"/>
                <w:color w:val="FF0000"/>
                <w:sz w:val="24"/>
                <w:szCs w:val="24"/>
              </w:rPr>
              <w:t>Attended by all IPEF partners.</w:t>
            </w:r>
          </w:p>
          <w:p w14:paraId="3C8A090B" w14:textId="77777777" w:rsidR="00947B78" w:rsidRPr="0003217F" w:rsidRDefault="00947B78" w:rsidP="004464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217F">
              <w:rPr>
                <w:rFonts w:ascii="Arial" w:hAnsi="Arial" w:cs="Arial"/>
                <w:color w:val="FF0000"/>
                <w:sz w:val="24"/>
                <w:szCs w:val="24"/>
              </w:rPr>
              <w:t>Malaysia rep from MPC</w:t>
            </w:r>
          </w:p>
          <w:p w14:paraId="1689CEBA" w14:textId="77777777" w:rsidR="00947B78" w:rsidRPr="0003217F" w:rsidRDefault="00947B78" w:rsidP="004464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217F">
              <w:rPr>
                <w:rFonts w:ascii="Arial" w:hAnsi="Arial" w:cs="Arial"/>
                <w:color w:val="FF0000"/>
                <w:sz w:val="24"/>
                <w:szCs w:val="24"/>
              </w:rPr>
              <w:t xml:space="preserve">Chair / USTR </w:t>
            </w:r>
          </w:p>
          <w:p w14:paraId="728A3BF8" w14:textId="592F55F1" w:rsidR="00947B78" w:rsidRPr="0003217F" w:rsidRDefault="00947B78" w:rsidP="004464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217F">
              <w:rPr>
                <w:rFonts w:ascii="Arial" w:hAnsi="Arial" w:cs="Arial"/>
                <w:color w:val="FF0000"/>
                <w:sz w:val="24"/>
                <w:szCs w:val="24"/>
              </w:rPr>
              <w:t xml:space="preserve">Proposed </w:t>
            </w:r>
            <w:r w:rsidR="008403D4" w:rsidRPr="0003217F">
              <w:rPr>
                <w:rFonts w:ascii="Arial" w:hAnsi="Arial" w:cs="Arial"/>
                <w:color w:val="FF0000"/>
                <w:sz w:val="24"/>
                <w:szCs w:val="24"/>
              </w:rPr>
              <w:t xml:space="preserve">date for </w:t>
            </w:r>
            <w:r w:rsidRPr="0003217F">
              <w:rPr>
                <w:rFonts w:ascii="Arial" w:hAnsi="Arial" w:cs="Arial"/>
                <w:color w:val="FF0000"/>
                <w:sz w:val="24"/>
                <w:szCs w:val="24"/>
              </w:rPr>
              <w:t>intersessional session</w:t>
            </w:r>
            <w:r w:rsidR="008403D4" w:rsidRPr="0003217F">
              <w:rPr>
                <w:rFonts w:ascii="Arial" w:hAnsi="Arial" w:cs="Arial"/>
                <w:color w:val="FF0000"/>
                <w:sz w:val="24"/>
                <w:szCs w:val="24"/>
              </w:rPr>
              <w:t xml:space="preserve"> (5</w:t>
            </w:r>
            <w:r w:rsidR="008403D4" w:rsidRPr="0003217F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th</w:t>
            </w:r>
            <w:r w:rsidR="008403D4" w:rsidRPr="0003217F">
              <w:rPr>
                <w:rFonts w:ascii="Arial" w:hAnsi="Arial" w:cs="Arial"/>
                <w:color w:val="FF0000"/>
                <w:sz w:val="24"/>
                <w:szCs w:val="24"/>
              </w:rPr>
              <w:t xml:space="preserve"> or 9</w:t>
            </w:r>
            <w:r w:rsidR="008403D4" w:rsidRPr="0003217F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th</w:t>
            </w:r>
            <w:r w:rsidR="008403D4" w:rsidRPr="0003217F">
              <w:rPr>
                <w:rFonts w:ascii="Arial" w:hAnsi="Arial" w:cs="Arial"/>
                <w:color w:val="FF0000"/>
                <w:sz w:val="24"/>
                <w:szCs w:val="24"/>
              </w:rPr>
              <w:t xml:space="preserve"> October 2023)</w:t>
            </w:r>
          </w:p>
          <w:p w14:paraId="194B8C9E" w14:textId="77777777" w:rsidR="00A2652A" w:rsidRPr="0003217F" w:rsidRDefault="00A2652A" w:rsidP="004464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7537869" w14:textId="77777777" w:rsidR="004464B7" w:rsidRPr="00E162D6" w:rsidRDefault="004464B7" w:rsidP="002D6ED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60FD76F6" w14:textId="7020D9E1" w:rsidR="004464B7" w:rsidRPr="00E162D6" w:rsidRDefault="004464B7" w:rsidP="002D6ED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SUMMARY OF REPORT:</w:t>
            </w:r>
          </w:p>
          <w:p w14:paraId="76C9B6FF" w14:textId="38C8967B" w:rsidR="004464B7" w:rsidRPr="00E162D6" w:rsidRDefault="004464B7" w:rsidP="002D6E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Attended by all IPEF partners.</w:t>
            </w:r>
          </w:p>
          <w:p w14:paraId="337E499A" w14:textId="2DBAD343" w:rsidR="004464B7" w:rsidRPr="00E162D6" w:rsidRDefault="004464B7" w:rsidP="002D6E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Malaysia rep from MPC</w:t>
            </w:r>
          </w:p>
          <w:p w14:paraId="025E3EFA" w14:textId="18C202C3" w:rsidR="004464B7" w:rsidRPr="00E162D6" w:rsidRDefault="004464B7" w:rsidP="002D6E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Chair / USTR</w:t>
            </w:r>
          </w:p>
        </w:tc>
        <w:tc>
          <w:tcPr>
            <w:tcW w:w="1250" w:type="pct"/>
          </w:tcPr>
          <w:p w14:paraId="74A2AB6C" w14:textId="77777777" w:rsidR="00A2652A" w:rsidRPr="001671D5" w:rsidRDefault="00A2652A" w:rsidP="004464B7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B43247" w:rsidRPr="001671D5" w14:paraId="7A3AAD0E" w14:textId="77777777" w:rsidTr="00A2652A">
        <w:tc>
          <w:tcPr>
            <w:tcW w:w="1250" w:type="pct"/>
          </w:tcPr>
          <w:p w14:paraId="6681995D" w14:textId="123D26C4" w:rsidR="00B43247" w:rsidRPr="001671D5" w:rsidRDefault="00B43247" w:rsidP="00A2652A">
            <w:pPr>
              <w:rPr>
                <w:rFonts w:ascii="Arial" w:hAnsi="Arial" w:cs="Arial"/>
                <w:sz w:val="24"/>
                <w:szCs w:val="24"/>
              </w:rPr>
            </w:pPr>
            <w:r w:rsidRPr="001671D5">
              <w:rPr>
                <w:rFonts w:ascii="Arial" w:hAnsi="Arial" w:cs="Arial"/>
                <w:sz w:val="24"/>
                <w:szCs w:val="24"/>
              </w:rPr>
              <w:t>Cover – Art. X.1</w:t>
            </w:r>
          </w:p>
        </w:tc>
        <w:tc>
          <w:tcPr>
            <w:tcW w:w="1250" w:type="pct"/>
          </w:tcPr>
          <w:p w14:paraId="14E5679E" w14:textId="12527C9E" w:rsidR="00B43247" w:rsidRPr="0003217F" w:rsidRDefault="001A16F2" w:rsidP="00A265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217F">
              <w:rPr>
                <w:rFonts w:ascii="Arial" w:hAnsi="Arial" w:cs="Arial"/>
                <w:color w:val="FF0000"/>
                <w:sz w:val="24"/>
                <w:szCs w:val="24"/>
              </w:rPr>
              <w:t>Cover – Art. X.</w:t>
            </w:r>
            <w:r w:rsidR="00027176" w:rsidRPr="0003217F">
              <w:rPr>
                <w:rFonts w:ascii="Arial" w:hAnsi="Arial" w:cs="Arial"/>
                <w:color w:val="FF0000"/>
                <w:sz w:val="24"/>
                <w:szCs w:val="24"/>
              </w:rPr>
              <w:t>2, X.4, X.5, X.6</w:t>
            </w:r>
          </w:p>
        </w:tc>
        <w:tc>
          <w:tcPr>
            <w:tcW w:w="1250" w:type="pct"/>
          </w:tcPr>
          <w:p w14:paraId="145039E2" w14:textId="77777777" w:rsidR="00B43247" w:rsidRDefault="00960EF4" w:rsidP="00A2652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Cover – </w:t>
            </w:r>
            <w:r w:rsidR="00186228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US ALT </w:t>
            </w: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Art. X.7</w:t>
            </w:r>
            <w:r w:rsidR="00186228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(Art. 7 &amp; 15 combine)</w:t>
            </w:r>
            <w:r w:rsidR="00CE63FA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, Art. X.9, Art. X.10, Art. X.11,</w:t>
            </w:r>
            <w:r w:rsidR="00F51647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Art. X.12</w:t>
            </w:r>
            <w:r w:rsidR="00760FCD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, Art. X.13, Art. X.14</w:t>
            </w:r>
            <w:r w:rsidR="004E1FCB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, X.15</w:t>
            </w:r>
            <w:r w:rsidR="00CE3D82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, X.16</w:t>
            </w:r>
            <w:r w:rsidR="008E3189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  <w:p w14:paraId="3FC4E247" w14:textId="626DF4BB" w:rsidR="000A073D" w:rsidRPr="00E162D6" w:rsidRDefault="000A073D" w:rsidP="00A2652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F299B60" w14:textId="63B3ED23" w:rsidR="00B43247" w:rsidRPr="001671D5" w:rsidRDefault="000E4FB0" w:rsidP="00A2652A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Art.</w:t>
            </w:r>
            <w:r w:rsidR="00D74C58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17</w:t>
            </w:r>
          </w:p>
        </w:tc>
      </w:tr>
      <w:tr w:rsidR="00E50C21" w:rsidRPr="001671D5" w14:paraId="1D82352B" w14:textId="77777777" w:rsidTr="00A2652A">
        <w:tc>
          <w:tcPr>
            <w:tcW w:w="1250" w:type="pct"/>
          </w:tcPr>
          <w:p w14:paraId="297439F1" w14:textId="77777777" w:rsidR="00E50C21" w:rsidRPr="001671D5" w:rsidRDefault="00E50C21" w:rsidP="00A265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54A6021" w14:textId="77777777" w:rsidR="00E50C21" w:rsidRPr="007257F8" w:rsidRDefault="00E50C21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 xml:space="preserve">US-MY Bilateral </w:t>
            </w:r>
          </w:p>
          <w:p w14:paraId="13CBA40C" w14:textId="77777777" w:rsidR="008F4D00" w:rsidRPr="007257F8" w:rsidRDefault="008F4D00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6A0E3C4" w14:textId="77777777" w:rsidR="00D70F14" w:rsidRPr="007257F8" w:rsidRDefault="00D70F14" w:rsidP="0003217F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  <w:highlight w:val="yellow"/>
                <w:lang w:val="en-US"/>
              </w:rPr>
              <w:t>Malaysia’s top challenges – GRP chapter</w:t>
            </w:r>
          </w:p>
          <w:p w14:paraId="754EBD87" w14:textId="77777777" w:rsidR="00D70F14" w:rsidRPr="007257F8" w:rsidRDefault="00D70F14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8C9D063" w14:textId="77777777" w:rsidR="00D70F14" w:rsidRPr="007257F8" w:rsidRDefault="00D70F14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Revisiting institutional arrangements</w:t>
            </w:r>
          </w:p>
          <w:p w14:paraId="214C58FB" w14:textId="77777777" w:rsidR="00D70F14" w:rsidRPr="007257F8" w:rsidRDefault="00D70F14" w:rsidP="000321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GRP approach: a formal and non-binding policy statement – regulatory policy does not formalise into legislation.</w:t>
            </w:r>
          </w:p>
          <w:p w14:paraId="08FE680F" w14:textId="77777777" w:rsidR="00D70F14" w:rsidRPr="007257F8" w:rsidRDefault="00D70F14" w:rsidP="000321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Article X.8:  Use of Plain Language</w:t>
            </w:r>
          </w:p>
          <w:p w14:paraId="22EAB6E2" w14:textId="77777777" w:rsidR="00D70F14" w:rsidRPr="007257F8" w:rsidRDefault="00D70F14" w:rsidP="000321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Article X.9:  Transparent Development of Regulations</w:t>
            </w:r>
          </w:p>
          <w:p w14:paraId="2176AEC1" w14:textId="77777777" w:rsidR="00D70F14" w:rsidRPr="007257F8" w:rsidRDefault="00D70F14" w:rsidP="0003217F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Publish proposed regulatory measure and RIS.</w:t>
            </w:r>
          </w:p>
          <w:p w14:paraId="611AF3DC" w14:textId="77777777" w:rsidR="00D70F14" w:rsidRPr="007257F8" w:rsidRDefault="00D70F14" w:rsidP="000321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Article X.10: Expert Advisory Groups and Bodies</w:t>
            </w:r>
          </w:p>
          <w:p w14:paraId="791E452F" w14:textId="77777777" w:rsidR="00B94F63" w:rsidRPr="007257F8" w:rsidRDefault="00B94F63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1477B26" w14:textId="36A528E2" w:rsidR="00B94F63" w:rsidRPr="007257F8" w:rsidRDefault="00B94F63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Issues in GRP development (to be addressed through TAC):</w:t>
            </w:r>
          </w:p>
          <w:p w14:paraId="6B8713BA" w14:textId="77777777" w:rsidR="00B94F63" w:rsidRPr="007257F8" w:rsidRDefault="00B94F63" w:rsidP="0003217F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D88BC5" w14:textId="77777777" w:rsidR="006C7AB2" w:rsidRPr="007257F8" w:rsidRDefault="00B94F63" w:rsidP="0003217F">
            <w:pPr>
              <w:pStyle w:val="ListParagraph"/>
              <w:numPr>
                <w:ilvl w:val="1"/>
                <w:numId w:val="23"/>
              </w:numPr>
              <w:ind w:left="709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 xml:space="preserve">Infrastructure </w:t>
            </w:r>
          </w:p>
          <w:p w14:paraId="380CAE1F" w14:textId="10720D37" w:rsidR="00B94F63" w:rsidRPr="007257F8" w:rsidRDefault="00547E09" w:rsidP="006C7AB2">
            <w:pPr>
              <w:pStyle w:val="ListParagraph"/>
              <w:numPr>
                <w:ilvl w:val="2"/>
                <w:numId w:val="23"/>
              </w:numPr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</w:pPr>
            <w:r w:rsidRPr="004B6183">
              <w:rPr>
                <w:rStyle w:val="Heading1Char"/>
                <w:rFonts w:ascii="Arial" w:eastAsiaTheme="minorHAnsi" w:hAnsi="Arial" w:cs="Arial"/>
                <w:color w:val="FF0000"/>
              </w:rPr>
              <w:t>Art.</w:t>
            </w:r>
            <w:r w:rsidR="00B87E21" w:rsidRPr="004B6183">
              <w:rPr>
                <w:rStyle w:val="Heading1Char"/>
                <w:rFonts w:ascii="Arial" w:eastAsiaTheme="minorHAnsi" w:hAnsi="Arial" w:cs="Arial"/>
                <w:color w:val="FF0000"/>
              </w:rPr>
              <w:t>5,</w:t>
            </w:r>
            <w:r w:rsidR="007257F8" w:rsidRPr="004B6183">
              <w:rPr>
                <w:rStyle w:val="Heading1Char"/>
                <w:rFonts w:ascii="Arial" w:eastAsiaTheme="minorHAnsi" w:hAnsi="Arial" w:cs="Arial"/>
                <w:color w:val="FF0000"/>
              </w:rPr>
              <w:t xml:space="preserve"> Art.6, Art.10</w:t>
            </w:r>
            <w:r w:rsidR="007257F8"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 xml:space="preserve">: </w:t>
            </w:r>
            <w:r w:rsidR="006C7AB2"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>Fin</w:t>
            </w:r>
            <w:r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>ancial burden</w:t>
            </w:r>
            <w:r w:rsidRPr="007257F8">
              <w:rPr>
                <w:rStyle w:val="Heading1Char"/>
                <w:rFonts w:ascii="Arial" w:eastAsiaTheme="minorHAnsi" w:hAnsi="Arial" w:cs="Arial"/>
                <w:color w:val="FF0000"/>
              </w:rPr>
              <w:t xml:space="preserve"> (</w:t>
            </w:r>
            <w:r w:rsidR="00B94F63"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 xml:space="preserve">i.e., </w:t>
            </w:r>
            <w:r w:rsidR="0075589C" w:rsidRPr="00285D14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>development and management of</w:t>
            </w:r>
            <w:r w:rsidR="0075589C">
              <w:rPr>
                <w:rStyle w:val="Heading1Char"/>
                <w:rFonts w:ascii="Arial" w:eastAsiaTheme="minorHAnsi" w:hAnsi="Arial" w:cs="Arial"/>
                <w:bCs/>
                <w:color w:val="FF0000"/>
              </w:rPr>
              <w:t xml:space="preserve"> </w:t>
            </w:r>
            <w:r w:rsidR="00B94F63"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>website</w:t>
            </w:r>
            <w:r w:rsidR="0075589C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 xml:space="preserve"> </w:t>
            </w:r>
            <w:r w:rsidR="00B94F63"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>/information</w:t>
            </w:r>
            <w:r w:rsidRPr="007257F8">
              <w:rPr>
                <w:rStyle w:val="Heading1Char"/>
                <w:rFonts w:ascii="Arial" w:eastAsiaTheme="minorHAnsi" w:hAnsi="Arial" w:cs="Arial"/>
                <w:b w:val="0"/>
                <w:bCs/>
                <w:color w:val="FF0000"/>
              </w:rPr>
              <w:t>)</w:t>
            </w:r>
          </w:p>
          <w:p w14:paraId="5980B64C" w14:textId="12D3DC82" w:rsidR="00B94F63" w:rsidRPr="007257F8" w:rsidRDefault="00B94F63" w:rsidP="0003217F">
            <w:pPr>
              <w:pStyle w:val="Normal4"/>
              <w:numPr>
                <w:ilvl w:val="2"/>
                <w:numId w:val="23"/>
              </w:numPr>
              <w:spacing w:after="0"/>
              <w:jc w:val="left"/>
              <w:rPr>
                <w:rFonts w:ascii="Arial" w:hAnsi="Arial" w:cs="Arial"/>
                <w:color w:val="FF0000"/>
                <w:szCs w:val="24"/>
              </w:rPr>
            </w:pPr>
            <w:r w:rsidRPr="007257F8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>Art</w:t>
            </w:r>
            <w:r w:rsidR="004B6183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>.</w:t>
            </w:r>
            <w:r w:rsidRPr="007257F8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 xml:space="preserve"> X.7:</w:t>
            </w:r>
            <w:r w:rsidRPr="007257F8">
              <w:rPr>
                <w:rFonts w:ascii="Arial" w:hAnsi="Arial" w:cs="Arial"/>
                <w:color w:val="FF0000"/>
                <w:szCs w:val="24"/>
              </w:rPr>
              <w:t xml:space="preserve">  Regulatory Transparency Tools </w:t>
            </w:r>
          </w:p>
          <w:p w14:paraId="39DE760C" w14:textId="77777777" w:rsidR="00B94F63" w:rsidRPr="007257F8" w:rsidRDefault="00B94F63" w:rsidP="0003217F">
            <w:pPr>
              <w:pStyle w:val="Normal4"/>
              <w:numPr>
                <w:ilvl w:val="3"/>
                <w:numId w:val="23"/>
              </w:numPr>
              <w:spacing w:after="0"/>
              <w:jc w:val="left"/>
              <w:rPr>
                <w:rFonts w:ascii="Arial" w:hAnsi="Arial" w:cs="Arial"/>
                <w:color w:val="FF0000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Cs w:val="24"/>
              </w:rPr>
              <w:t>digital signatures and digital record submissions</w:t>
            </w:r>
          </w:p>
          <w:p w14:paraId="26638E8A" w14:textId="77777777" w:rsidR="00B94F63" w:rsidRPr="007257F8" w:rsidRDefault="00B94F63" w:rsidP="0003217F">
            <w:pPr>
              <w:pStyle w:val="ListParagraph"/>
              <w:ind w:left="14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460185A" w14:textId="77777777" w:rsidR="00B94F63" w:rsidRPr="007257F8" w:rsidRDefault="00B94F63" w:rsidP="0003217F">
            <w:pPr>
              <w:pStyle w:val="ListParagraph"/>
              <w:numPr>
                <w:ilvl w:val="1"/>
                <w:numId w:val="23"/>
              </w:numPr>
              <w:ind w:left="709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 xml:space="preserve">Regulator competency </w:t>
            </w:r>
          </w:p>
          <w:p w14:paraId="059314D5" w14:textId="48A83B1E" w:rsidR="00B94F63" w:rsidRPr="007257F8" w:rsidRDefault="004B6183" w:rsidP="0003217F">
            <w:pPr>
              <w:pStyle w:val="Normal4"/>
              <w:numPr>
                <w:ilvl w:val="2"/>
                <w:numId w:val="23"/>
              </w:numPr>
              <w:spacing w:after="0"/>
              <w:jc w:val="left"/>
              <w:rPr>
                <w:rStyle w:val="Heading1Char"/>
                <w:rFonts w:ascii="Arial" w:eastAsiaTheme="minorEastAsia" w:hAnsi="Arial" w:cs="Arial"/>
                <w:b w:val="0"/>
                <w:color w:val="FF0000"/>
                <w:szCs w:val="24"/>
              </w:rPr>
            </w:pPr>
            <w:r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>Art.</w:t>
            </w:r>
            <w:r w:rsidR="00B94F63" w:rsidRPr="007257F8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 xml:space="preserve"> X.5:  Information Quality</w:t>
            </w:r>
          </w:p>
          <w:p w14:paraId="7692E493" w14:textId="1DF90A3B" w:rsidR="00B94F63" w:rsidRPr="007257F8" w:rsidRDefault="00B94F63" w:rsidP="0003217F">
            <w:pPr>
              <w:pStyle w:val="Normal4"/>
              <w:numPr>
                <w:ilvl w:val="2"/>
                <w:numId w:val="23"/>
              </w:numPr>
              <w:spacing w:after="0"/>
              <w:jc w:val="left"/>
              <w:rPr>
                <w:rFonts w:ascii="Arial" w:hAnsi="Arial" w:cs="Arial"/>
                <w:color w:val="FF0000"/>
                <w:szCs w:val="24"/>
              </w:rPr>
            </w:pPr>
            <w:r w:rsidRPr="007257F8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>Art</w:t>
            </w:r>
            <w:r w:rsidR="004B6183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>.</w:t>
            </w:r>
            <w:r w:rsidRPr="007257F8">
              <w:rPr>
                <w:rStyle w:val="Heading1Char"/>
                <w:rFonts w:ascii="Arial" w:eastAsiaTheme="minorHAnsi" w:hAnsi="Arial" w:cs="Arial"/>
                <w:color w:val="FF0000"/>
                <w:szCs w:val="24"/>
              </w:rPr>
              <w:t xml:space="preserve"> X.7:</w:t>
            </w:r>
            <w:r w:rsidRPr="007257F8">
              <w:rPr>
                <w:rFonts w:ascii="Arial" w:hAnsi="Arial" w:cs="Arial"/>
                <w:color w:val="FF0000"/>
                <w:szCs w:val="24"/>
              </w:rPr>
              <w:t xml:space="preserve">  Regulatory Transparency Tools </w:t>
            </w:r>
          </w:p>
          <w:p w14:paraId="7C57DA41" w14:textId="77777777" w:rsidR="00B94F63" w:rsidRPr="007257F8" w:rsidRDefault="00B94F63" w:rsidP="0003217F">
            <w:pPr>
              <w:pStyle w:val="ListParagraph"/>
              <w:numPr>
                <w:ilvl w:val="3"/>
                <w:numId w:val="2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Methodology (i.e., RIA/Survey/Consultation)</w:t>
            </w:r>
          </w:p>
          <w:p w14:paraId="515CDD62" w14:textId="77777777" w:rsidR="00B94F63" w:rsidRPr="007257F8" w:rsidRDefault="00B94F63" w:rsidP="0003217F">
            <w:pPr>
              <w:pStyle w:val="ListParagraph"/>
              <w:numPr>
                <w:ilvl w:val="3"/>
                <w:numId w:val="2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eastAsiaTheme="minorEastAsia" w:hAnsi="Arial" w:cs="Arial"/>
                <w:color w:val="FF0000"/>
                <w:sz w:val="24"/>
                <w:szCs w:val="24"/>
                <w:lang w:val="en-US"/>
              </w:rPr>
              <w:t>processes and mechanisms used to prepare, evaluate, or review regulations.</w:t>
            </w:r>
          </w:p>
          <w:p w14:paraId="72A5D67C" w14:textId="77777777" w:rsidR="00B94F63" w:rsidRPr="007257F8" w:rsidRDefault="00B94F63" w:rsidP="0003217F">
            <w:pPr>
              <w:pStyle w:val="ListParagraph"/>
              <w:numPr>
                <w:ilvl w:val="2"/>
                <w:numId w:val="2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57F8">
              <w:rPr>
                <w:rFonts w:ascii="Arial" w:hAnsi="Arial" w:cs="Arial"/>
                <w:color w:val="FF0000"/>
                <w:sz w:val="24"/>
                <w:szCs w:val="24"/>
              </w:rPr>
              <w:t>Article X.8:  Use of Plain Language</w:t>
            </w:r>
          </w:p>
          <w:p w14:paraId="6ADF9336" w14:textId="0A27160C" w:rsidR="008F4D00" w:rsidRPr="007257F8" w:rsidRDefault="008F4D00" w:rsidP="0003217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C84C921" w14:textId="77777777" w:rsidR="00E50C21" w:rsidRPr="00E162D6" w:rsidRDefault="00CE3D82" w:rsidP="00A2652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 xml:space="preserve">Art. 7 &amp; 15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combine</w:t>
            </w:r>
            <w:proofErr w:type="gramEnd"/>
          </w:p>
          <w:p w14:paraId="72BAE096" w14:textId="77777777" w:rsidR="00CE3D82" w:rsidRPr="00E162D6" w:rsidRDefault="00CE3D82" w:rsidP="00A2652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Art. 13 &amp; 14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combine</w:t>
            </w:r>
            <w:proofErr w:type="gramEnd"/>
          </w:p>
          <w:p w14:paraId="65DF203E" w14:textId="77777777" w:rsidR="00714C11" w:rsidRPr="00E162D6" w:rsidRDefault="00714C11" w:rsidP="00A2652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1FCAC8E8" w14:textId="77777777" w:rsidR="00714C11" w:rsidRDefault="00714C11" w:rsidP="00A2652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US </w:t>
            </w:r>
            <w:r w:rsidR="00B21E12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proposed idea </w:t>
            </w:r>
            <w:r w:rsidR="00E32FE7">
              <w:rPr>
                <w:rFonts w:ascii="Arial" w:hAnsi="Arial" w:cs="Arial"/>
                <w:color w:val="4472C4" w:themeColor="accent1"/>
                <w:sz w:val="24"/>
                <w:szCs w:val="24"/>
              </w:rPr>
              <w:t>“</w:t>
            </w:r>
            <w:r w:rsidR="00C71A54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GRP Disciplines</w:t>
            </w:r>
            <w:r w:rsidR="00872F13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cover Transition &amp;</w:t>
            </w:r>
            <w:r w:rsidR="00E162D6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GRP</w:t>
            </w:r>
            <w:r w:rsidR="00872F13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Committee </w:t>
            </w:r>
            <w:r w:rsidR="00E162D6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to oversee implementation</w:t>
            </w:r>
            <w:r w:rsidR="00E32FE7">
              <w:rPr>
                <w:rFonts w:ascii="Arial" w:hAnsi="Arial" w:cs="Arial"/>
                <w:color w:val="4472C4" w:themeColor="accent1"/>
                <w:sz w:val="24"/>
                <w:szCs w:val="24"/>
              </w:rPr>
              <w:t>”</w:t>
            </w:r>
            <w:r w:rsidR="00B21E12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C71A54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- </w:t>
            </w:r>
            <w:r w:rsidR="00FC5A2C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to get feedback &amp; reaction from IPEF partners</w:t>
            </w:r>
            <w:r w:rsidR="00E162D6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6B476344" w14:textId="77777777" w:rsidR="00282E1A" w:rsidRPr="00282E1A" w:rsidRDefault="00282E1A" w:rsidP="00282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6D08C" w14:textId="77777777" w:rsidR="00282E1A" w:rsidRDefault="00282E1A" w:rsidP="00282E1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3BAC14B1" w14:textId="77777777" w:rsidR="00282E1A" w:rsidRDefault="00282E1A" w:rsidP="00282E1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1F88C162" w14:textId="77777777" w:rsidR="00282E1A" w:rsidRDefault="00282E1A" w:rsidP="00282E1A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1E1F7575" w14:textId="2E0FE811" w:rsidR="00282E1A" w:rsidRPr="00282E1A" w:rsidRDefault="00282E1A" w:rsidP="00282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X2 AND x</w:t>
            </w:r>
            <w:r w:rsidR="00566BE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50" w:type="pct"/>
          </w:tcPr>
          <w:p w14:paraId="37E9C047" w14:textId="77777777" w:rsidR="00E50C21" w:rsidRPr="001671D5" w:rsidRDefault="00E50C21" w:rsidP="00A2652A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</w:tbl>
    <w:p w14:paraId="07E16BFB" w14:textId="77777777" w:rsidR="00B43247" w:rsidRPr="001671D5" w:rsidRDefault="00B43247">
      <w:pPr>
        <w:rPr>
          <w:rFonts w:ascii="Arial" w:hAnsi="Arial" w:cs="Arial"/>
          <w:sz w:val="24"/>
          <w:szCs w:val="24"/>
        </w:rPr>
      </w:pPr>
    </w:p>
    <w:p w14:paraId="538ED696" w14:textId="77777777" w:rsidR="00E65627" w:rsidRDefault="00E65627" w:rsidP="00E65627">
      <w:pPr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8"/>
        <w:gridCol w:w="3076"/>
        <w:gridCol w:w="4666"/>
        <w:gridCol w:w="4666"/>
        <w:gridCol w:w="4666"/>
        <w:gridCol w:w="2859"/>
      </w:tblGrid>
      <w:tr w:rsidR="000A7F82" w:rsidRPr="005D4DFF" w14:paraId="2CCE1AB1" w14:textId="32C8E8CF" w:rsidTr="00CD2A90">
        <w:trPr>
          <w:tblHeader/>
          <w:jc w:val="center"/>
        </w:trPr>
        <w:tc>
          <w:tcPr>
            <w:tcW w:w="236" w:type="pct"/>
            <w:vAlign w:val="center"/>
          </w:tcPr>
          <w:p w14:paraId="5E283BB2" w14:textId="242009F5" w:rsidR="00F52F7A" w:rsidRPr="005D4DFF" w:rsidRDefault="005B367D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735" w:type="pct"/>
            <w:vAlign w:val="center"/>
          </w:tcPr>
          <w:p w14:paraId="4886FE32" w14:textId="1A78D374" w:rsidR="00F52F7A" w:rsidRPr="005D4DFF" w:rsidRDefault="005B367D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115" w:type="pct"/>
            <w:vAlign w:val="center"/>
          </w:tcPr>
          <w:p w14:paraId="7DD29888" w14:textId="430BC078" w:rsidR="00F52F7A" w:rsidRPr="005D4DFF" w:rsidRDefault="003778FC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SUMMARY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1115" w:type="pct"/>
            <w:vAlign w:val="center"/>
          </w:tcPr>
          <w:p w14:paraId="1332877B" w14:textId="3160A25E" w:rsidR="00F52F7A" w:rsidRPr="005D4DFF" w:rsidRDefault="000A7F82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SUMMARY OF KEY DISCUSSION</w:t>
            </w:r>
          </w:p>
        </w:tc>
        <w:tc>
          <w:tcPr>
            <w:tcW w:w="1115" w:type="pct"/>
            <w:vAlign w:val="center"/>
          </w:tcPr>
          <w:p w14:paraId="1DF95A56" w14:textId="6C99EE7F" w:rsidR="00F52F7A" w:rsidRPr="005D4DFF" w:rsidRDefault="005B367D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REDLINES/</w:t>
            </w:r>
            <w:r w:rsidR="005D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CABINET MANDATE</w:t>
            </w:r>
          </w:p>
          <w:p w14:paraId="148426B8" w14:textId="35AB2882" w:rsidR="00F52F7A" w:rsidRPr="005D4DFF" w:rsidRDefault="005B367D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(IF ANY)</w:t>
            </w:r>
          </w:p>
        </w:tc>
        <w:tc>
          <w:tcPr>
            <w:tcW w:w="683" w:type="pct"/>
            <w:vAlign w:val="center"/>
          </w:tcPr>
          <w:p w14:paraId="60982790" w14:textId="7DF7BF4E" w:rsidR="00F52F7A" w:rsidRPr="005D4DFF" w:rsidRDefault="005B367D" w:rsidP="00F52F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PROPOSAL</w:t>
            </w:r>
            <w:r w:rsidR="0089775A" w:rsidRPr="005D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D4DFF">
              <w:rPr>
                <w:rFonts w:ascii="Arial" w:hAnsi="Arial" w:cs="Arial"/>
                <w:b/>
                <w:bCs/>
                <w:sz w:val="24"/>
                <w:szCs w:val="24"/>
              </w:rPr>
              <w:t>/ SOLUTION(S)</w:t>
            </w:r>
          </w:p>
        </w:tc>
      </w:tr>
      <w:tr w:rsidR="00781D12" w:rsidRPr="00145147" w14:paraId="478C11CA" w14:textId="53FA0037" w:rsidTr="00CD2A90">
        <w:trPr>
          <w:jc w:val="center"/>
        </w:trPr>
        <w:tc>
          <w:tcPr>
            <w:tcW w:w="236" w:type="pct"/>
          </w:tcPr>
          <w:p w14:paraId="79E2B477" w14:textId="77777777" w:rsidR="00F52F7A" w:rsidRPr="00781D12" w:rsidRDefault="00F52F7A" w:rsidP="00731073">
            <w:pPr>
              <w:rPr>
                <w:rFonts w:ascii="Arial" w:hAnsi="Arial" w:cs="Arial"/>
                <w:sz w:val="24"/>
                <w:szCs w:val="24"/>
              </w:rPr>
            </w:pPr>
            <w:r w:rsidRPr="00781D12">
              <w:rPr>
                <w:rFonts w:ascii="Arial" w:hAnsi="Arial" w:cs="Arial"/>
                <w:sz w:val="24"/>
                <w:szCs w:val="24"/>
              </w:rPr>
              <w:t>X.1</w:t>
            </w:r>
          </w:p>
        </w:tc>
        <w:tc>
          <w:tcPr>
            <w:tcW w:w="735" w:type="pct"/>
          </w:tcPr>
          <w:p w14:paraId="093233F7" w14:textId="77777777" w:rsidR="00F52F7A" w:rsidRPr="00781D12" w:rsidRDefault="00F52F7A" w:rsidP="00731073">
            <w:pPr>
              <w:rPr>
                <w:rFonts w:ascii="Arial" w:hAnsi="Arial" w:cs="Arial"/>
                <w:sz w:val="24"/>
                <w:szCs w:val="24"/>
              </w:rPr>
            </w:pPr>
            <w:r w:rsidRPr="00781D12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1115" w:type="pct"/>
          </w:tcPr>
          <w:p w14:paraId="02B085A9" w14:textId="03DE049A" w:rsidR="006802F6" w:rsidRDefault="00E674E9" w:rsidP="00731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52F7A" w:rsidRPr="00781D12">
              <w:rPr>
                <w:rFonts w:ascii="Arial" w:hAnsi="Arial" w:cs="Arial"/>
                <w:sz w:val="24"/>
                <w:szCs w:val="24"/>
              </w:rPr>
              <w:t>efin</w:t>
            </w:r>
            <w:r w:rsidR="007B5190">
              <w:rPr>
                <w:rFonts w:ascii="Arial" w:hAnsi="Arial" w:cs="Arial"/>
                <w:sz w:val="24"/>
                <w:szCs w:val="24"/>
              </w:rPr>
              <w:t>ition of</w:t>
            </w:r>
            <w:r w:rsidR="00F52F7A" w:rsidRPr="00781D12">
              <w:rPr>
                <w:rFonts w:ascii="Arial" w:hAnsi="Arial" w:cs="Arial"/>
                <w:sz w:val="24"/>
                <w:szCs w:val="24"/>
              </w:rPr>
              <w:t xml:space="preserve"> "regulations"</w:t>
            </w:r>
            <w:r w:rsidR="005833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9FC6F0" w14:textId="77777777" w:rsidR="006802F6" w:rsidRDefault="006802F6" w:rsidP="007310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05296" w14:textId="03269EA7" w:rsidR="00F52F7A" w:rsidRPr="00A80448" w:rsidRDefault="00583377" w:rsidP="00A804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80448">
              <w:rPr>
                <w:rFonts w:ascii="Arial" w:hAnsi="Arial" w:cs="Arial"/>
                <w:sz w:val="24"/>
                <w:szCs w:val="24"/>
                <w:highlight w:val="yellow"/>
              </w:rPr>
              <w:t>Subsidiary legislations</w:t>
            </w:r>
            <w:r w:rsidRPr="00A80448">
              <w:rPr>
                <w:rFonts w:ascii="Arial" w:hAnsi="Arial" w:cs="Arial"/>
                <w:sz w:val="24"/>
                <w:szCs w:val="24"/>
              </w:rPr>
              <w:t xml:space="preserve"> made by </w:t>
            </w:r>
            <w:r w:rsidRPr="00A80448">
              <w:rPr>
                <w:rFonts w:ascii="Arial" w:hAnsi="Arial" w:cs="Arial"/>
                <w:sz w:val="24"/>
                <w:szCs w:val="24"/>
                <w:highlight w:val="yellow"/>
              </w:rPr>
              <w:t>the federal level of government</w:t>
            </w:r>
            <w:r w:rsidRPr="00A80448">
              <w:rPr>
                <w:rFonts w:ascii="Arial" w:hAnsi="Arial" w:cs="Arial"/>
                <w:sz w:val="24"/>
                <w:szCs w:val="24"/>
              </w:rPr>
              <w:t xml:space="preserve"> related to any matter covered by this Agreement and for which regulatory impact statement is required.</w:t>
            </w:r>
          </w:p>
        </w:tc>
        <w:tc>
          <w:tcPr>
            <w:tcW w:w="1115" w:type="pct"/>
          </w:tcPr>
          <w:p w14:paraId="5B78B5D5" w14:textId="52C47E9B" w:rsidR="00923F3E" w:rsidRDefault="00C70744" w:rsidP="00731073">
            <w:pPr>
              <w:rPr>
                <w:rFonts w:ascii="Arial" w:hAnsi="Arial" w:cs="Arial"/>
                <w:sz w:val="24"/>
                <w:szCs w:val="24"/>
              </w:rPr>
            </w:pPr>
            <w:r w:rsidRPr="00614057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614057" w:rsidRPr="00614057">
              <w:rPr>
                <w:rFonts w:ascii="Arial" w:hAnsi="Arial" w:cs="Arial"/>
                <w:sz w:val="24"/>
                <w:szCs w:val="24"/>
              </w:rPr>
              <w:t xml:space="preserve">IPEF partners </w:t>
            </w:r>
            <w:r w:rsidR="00614057">
              <w:rPr>
                <w:rFonts w:ascii="Arial" w:hAnsi="Arial" w:cs="Arial"/>
                <w:sz w:val="24"/>
                <w:szCs w:val="24"/>
              </w:rPr>
              <w:t xml:space="preserve">has shared their </w:t>
            </w:r>
            <w:r w:rsidR="00923F3E">
              <w:rPr>
                <w:rFonts w:ascii="Arial" w:hAnsi="Arial" w:cs="Arial"/>
                <w:sz w:val="24"/>
                <w:szCs w:val="24"/>
              </w:rPr>
              <w:t>definition of regulation.</w:t>
            </w:r>
          </w:p>
          <w:p w14:paraId="70C8353E" w14:textId="3D33443C" w:rsidR="000C3E31" w:rsidRPr="00C70744" w:rsidRDefault="00EE7B39" w:rsidP="00C707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70744">
              <w:rPr>
                <w:rFonts w:ascii="Arial" w:hAnsi="Arial" w:cs="Arial"/>
                <w:sz w:val="24"/>
                <w:szCs w:val="24"/>
              </w:rPr>
              <w:t xml:space="preserve">SG: </w:t>
            </w:r>
            <w:r w:rsidR="00F67941" w:rsidRPr="00C70744">
              <w:rPr>
                <w:rFonts w:ascii="Arial" w:hAnsi="Arial" w:cs="Arial"/>
                <w:sz w:val="24"/>
                <w:szCs w:val="24"/>
              </w:rPr>
              <w:t xml:space="preserve">regulation related to trade and investment </w:t>
            </w:r>
            <w:r w:rsidR="000C3E31" w:rsidRPr="00C70744">
              <w:rPr>
                <w:rFonts w:ascii="Arial" w:hAnsi="Arial" w:cs="Arial"/>
                <w:sz w:val="24"/>
                <w:szCs w:val="24"/>
              </w:rPr>
              <w:t>exclude</w:t>
            </w:r>
            <w:r w:rsidR="00F9270C" w:rsidRPr="00C70744">
              <w:rPr>
                <w:rFonts w:ascii="Arial" w:hAnsi="Arial" w:cs="Arial"/>
                <w:sz w:val="24"/>
                <w:szCs w:val="24"/>
              </w:rPr>
              <w:t xml:space="preserve"> domestic regulation</w:t>
            </w:r>
          </w:p>
          <w:p w14:paraId="50D4D082" w14:textId="0D400292" w:rsidR="00F9270C" w:rsidRPr="00C70744" w:rsidRDefault="00F9270C" w:rsidP="00C707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70744">
              <w:rPr>
                <w:rFonts w:ascii="Arial" w:hAnsi="Arial" w:cs="Arial"/>
                <w:sz w:val="24"/>
                <w:szCs w:val="24"/>
              </w:rPr>
              <w:t xml:space="preserve">PH: </w:t>
            </w:r>
            <w:r w:rsidR="00810780" w:rsidRPr="00C70744">
              <w:rPr>
                <w:rFonts w:ascii="Arial" w:hAnsi="Arial" w:cs="Arial"/>
                <w:sz w:val="24"/>
                <w:szCs w:val="24"/>
              </w:rPr>
              <w:t>regulation related to business</w:t>
            </w:r>
          </w:p>
          <w:p w14:paraId="3D6A0663" w14:textId="0FBCE934" w:rsidR="00810780" w:rsidRDefault="00810780" w:rsidP="00C707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70744">
              <w:rPr>
                <w:rFonts w:ascii="Arial" w:hAnsi="Arial" w:cs="Arial"/>
                <w:sz w:val="24"/>
                <w:szCs w:val="24"/>
              </w:rPr>
              <w:t>BR: regulation related to trade and investment</w:t>
            </w:r>
          </w:p>
          <w:p w14:paraId="019CF003" w14:textId="1E26A98D" w:rsidR="00D613BF" w:rsidRPr="00C70744" w:rsidRDefault="00D613BF" w:rsidP="00C707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 </w:t>
            </w:r>
            <w:r w:rsidR="00F525EF">
              <w:rPr>
                <w:rFonts w:ascii="Arial" w:hAnsi="Arial" w:cs="Arial"/>
                <w:sz w:val="24"/>
                <w:szCs w:val="24"/>
              </w:rPr>
              <w:t>exclude</w:t>
            </w:r>
            <w:r w:rsidR="004479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9CF" w:rsidRPr="004479CF">
              <w:rPr>
                <w:rFonts w:ascii="Arial" w:hAnsi="Arial" w:cs="Arial"/>
                <w:sz w:val="24"/>
                <w:szCs w:val="24"/>
              </w:rPr>
              <w:t>departments and agencies responsible for regulating</w:t>
            </w:r>
            <w:r w:rsidR="004479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9CF" w:rsidRPr="004479CF">
              <w:rPr>
                <w:rFonts w:ascii="Arial" w:hAnsi="Arial" w:cs="Arial"/>
                <w:sz w:val="24"/>
                <w:szCs w:val="24"/>
              </w:rPr>
              <w:t>human health</w:t>
            </w:r>
            <w:r w:rsidR="003E5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E0ACB3" w14:textId="77777777" w:rsidR="000C3E31" w:rsidRDefault="000C3E31" w:rsidP="007310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9D599" w14:textId="510F15C7" w:rsidR="00323174" w:rsidRDefault="00323174" w:rsidP="00731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Consistency in interpretation of </w:t>
            </w:r>
            <w:r w:rsidR="00C64091">
              <w:rPr>
                <w:rFonts w:ascii="Arial" w:hAnsi="Arial" w:cs="Arial"/>
                <w:sz w:val="24"/>
                <w:szCs w:val="24"/>
              </w:rPr>
              <w:t>measures &amp; regulations</w:t>
            </w:r>
          </w:p>
          <w:p w14:paraId="27464168" w14:textId="77777777" w:rsidR="00323174" w:rsidRDefault="00323174" w:rsidP="007310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70465" w14:textId="23977931" w:rsidR="00C70744" w:rsidRDefault="004728C7" w:rsidP="00731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clarification</w:t>
            </w:r>
          </w:p>
          <w:p w14:paraId="0B89F384" w14:textId="229A8D2D" w:rsidR="00BF1776" w:rsidRPr="008620CB" w:rsidRDefault="00AD730B" w:rsidP="008620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620CB">
              <w:rPr>
                <w:rFonts w:ascii="Arial" w:hAnsi="Arial" w:cs="Arial"/>
                <w:sz w:val="24"/>
                <w:szCs w:val="24"/>
              </w:rPr>
              <w:t xml:space="preserve">Treatment </w:t>
            </w:r>
            <w:r w:rsidR="00896B30" w:rsidRPr="008620CB">
              <w:rPr>
                <w:rFonts w:ascii="Arial" w:hAnsi="Arial" w:cs="Arial"/>
                <w:sz w:val="24"/>
                <w:szCs w:val="24"/>
              </w:rPr>
              <w:t xml:space="preserve">if there </w:t>
            </w:r>
            <w:r w:rsidR="00023E69" w:rsidRPr="008620CB">
              <w:rPr>
                <w:rFonts w:ascii="Arial" w:hAnsi="Arial" w:cs="Arial"/>
                <w:sz w:val="24"/>
                <w:szCs w:val="24"/>
              </w:rPr>
              <w:t>are</w:t>
            </w:r>
            <w:r w:rsidR="00896B30" w:rsidRPr="008620CB">
              <w:rPr>
                <w:rFonts w:ascii="Arial" w:hAnsi="Arial" w:cs="Arial"/>
                <w:sz w:val="24"/>
                <w:szCs w:val="24"/>
              </w:rPr>
              <w:t xml:space="preserve"> any changes to party definition of regulation </w:t>
            </w:r>
            <w:r w:rsidR="00945474" w:rsidRPr="008620CB">
              <w:rPr>
                <w:rFonts w:ascii="Arial" w:hAnsi="Arial" w:cs="Arial"/>
                <w:sz w:val="24"/>
                <w:szCs w:val="24"/>
              </w:rPr>
              <w:t>once the agreement concluded</w:t>
            </w:r>
            <w:r w:rsidR="003E5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6D25C0" w14:textId="6DD8AD0C" w:rsidR="00583377" w:rsidRPr="00781D12" w:rsidRDefault="00583377" w:rsidP="00731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74E07C0" w14:textId="609CAE3A" w:rsidR="00F52F7A" w:rsidRPr="00781D12" w:rsidRDefault="00FC1C6B" w:rsidP="00731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Definition of </w:t>
            </w:r>
            <w:r w:rsidR="00533F2E" w:rsidRPr="00311CF7">
              <w:rPr>
                <w:rFonts w:ascii="Arial" w:hAnsi="Arial" w:cs="Arial"/>
                <w:sz w:val="24"/>
                <w:szCs w:val="24"/>
              </w:rPr>
              <w:t>Measure</w:t>
            </w:r>
            <w:r w:rsidR="00C64091">
              <w:rPr>
                <w:rFonts w:ascii="Arial" w:hAnsi="Arial" w:cs="Arial"/>
                <w:sz w:val="24"/>
                <w:szCs w:val="24"/>
              </w:rPr>
              <w:t>s</w:t>
            </w:r>
            <w:r w:rsidR="00533F2E" w:rsidRPr="00311CF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D173D" w:rsidRPr="00311CF7">
              <w:rPr>
                <w:rFonts w:ascii="Arial" w:hAnsi="Arial" w:cs="Arial"/>
                <w:sz w:val="24"/>
                <w:szCs w:val="24"/>
              </w:rPr>
              <w:t>central level of government</w:t>
            </w:r>
            <w:r w:rsidR="00EF6D23" w:rsidRPr="00311CF7">
              <w:rPr>
                <w:rFonts w:ascii="Arial" w:hAnsi="Arial" w:cs="Arial"/>
                <w:sz w:val="24"/>
                <w:szCs w:val="24"/>
              </w:rPr>
              <w:t xml:space="preserve"> need alignment with </w:t>
            </w:r>
            <w:r w:rsidR="007C6F1E" w:rsidRPr="00311CF7">
              <w:rPr>
                <w:rFonts w:ascii="Arial" w:hAnsi="Arial" w:cs="Arial"/>
                <w:sz w:val="24"/>
                <w:szCs w:val="24"/>
              </w:rPr>
              <w:t xml:space="preserve">Chapter 1 </w:t>
            </w:r>
            <w:r w:rsidR="0047598A" w:rsidRPr="00311CF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579E4" w:rsidRPr="00311CF7">
              <w:rPr>
                <w:rFonts w:ascii="Arial" w:hAnsi="Arial" w:cs="Arial"/>
                <w:sz w:val="24"/>
                <w:szCs w:val="24"/>
              </w:rPr>
              <w:t>Initial Provisions &amp; General Definitions</w:t>
            </w:r>
          </w:p>
        </w:tc>
        <w:tc>
          <w:tcPr>
            <w:tcW w:w="683" w:type="pct"/>
          </w:tcPr>
          <w:p w14:paraId="38E71772" w14:textId="78F6C8F2" w:rsidR="00F52F7A" w:rsidRPr="00781D12" w:rsidRDefault="00A61E70" w:rsidP="00731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MY need to identify who are not regulatory </w:t>
            </w:r>
            <w:r w:rsidR="006D7B98">
              <w:rPr>
                <w:rFonts w:ascii="Arial" w:hAnsi="Arial" w:cs="Arial"/>
                <w:sz w:val="24"/>
                <w:szCs w:val="24"/>
              </w:rPr>
              <w:t>agencies</w:t>
            </w:r>
          </w:p>
        </w:tc>
      </w:tr>
      <w:tr w:rsidR="002F5D10" w:rsidRPr="00145147" w14:paraId="78EDA4F8" w14:textId="77777777" w:rsidTr="00CD2A90">
        <w:trPr>
          <w:jc w:val="center"/>
        </w:trPr>
        <w:tc>
          <w:tcPr>
            <w:tcW w:w="236" w:type="pct"/>
          </w:tcPr>
          <w:p w14:paraId="19401A5C" w14:textId="77777777" w:rsidR="002F5D10" w:rsidRPr="00781D12" w:rsidRDefault="002F5D10" w:rsidP="00731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pct"/>
          </w:tcPr>
          <w:p w14:paraId="4B3FEED3" w14:textId="77777777" w:rsidR="002F5D10" w:rsidRPr="00781D12" w:rsidRDefault="002F5D10" w:rsidP="00731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3590203" w14:textId="77777777" w:rsidR="002F5D10" w:rsidRDefault="002F5D10" w:rsidP="00731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81D12">
              <w:rPr>
                <w:rFonts w:ascii="Arial" w:hAnsi="Arial" w:cs="Arial"/>
                <w:sz w:val="24"/>
                <w:szCs w:val="24"/>
              </w:rPr>
              <w:t>efin</w:t>
            </w:r>
            <w:r>
              <w:rPr>
                <w:rFonts w:ascii="Arial" w:hAnsi="Arial" w:cs="Arial"/>
                <w:sz w:val="24"/>
                <w:szCs w:val="24"/>
              </w:rPr>
              <w:t>ition of</w:t>
            </w:r>
            <w:r w:rsidRPr="00781D12">
              <w:rPr>
                <w:rFonts w:ascii="Arial" w:hAnsi="Arial" w:cs="Arial"/>
                <w:sz w:val="24"/>
                <w:szCs w:val="24"/>
              </w:rPr>
              <w:t xml:space="preserve"> "regulatory agency" </w:t>
            </w:r>
          </w:p>
          <w:p w14:paraId="6EB9DF5A" w14:textId="4BC73FC5" w:rsidR="00A80448" w:rsidRPr="00A80448" w:rsidRDefault="00A80448" w:rsidP="00A804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30623D">
              <w:rPr>
                <w:rFonts w:ascii="Arial" w:hAnsi="Arial" w:cs="Arial"/>
                <w:sz w:val="24"/>
                <w:szCs w:val="24"/>
              </w:rPr>
              <w:t>include specific exclusion list for regulatory agency</w:t>
            </w:r>
          </w:p>
        </w:tc>
        <w:tc>
          <w:tcPr>
            <w:tcW w:w="1115" w:type="pct"/>
          </w:tcPr>
          <w:p w14:paraId="6BBA8391" w14:textId="39FF3E51" w:rsidR="002F5D10" w:rsidRDefault="002F5D10" w:rsidP="00731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D5645E3" w14:textId="77777777" w:rsidR="002F5D10" w:rsidRPr="00781D12" w:rsidRDefault="002F5D10" w:rsidP="00731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pct"/>
          </w:tcPr>
          <w:p w14:paraId="21C40B2E" w14:textId="47A5F13F" w:rsidR="002F5D10" w:rsidRPr="00781D12" w:rsidRDefault="0030623D" w:rsidP="00C9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Malaysia </w:t>
            </w:r>
            <w:r w:rsidR="005C534B">
              <w:rPr>
                <w:rFonts w:ascii="Arial" w:hAnsi="Arial" w:cs="Arial"/>
                <w:sz w:val="24"/>
                <w:szCs w:val="24"/>
              </w:rPr>
              <w:t>needs</w:t>
            </w:r>
            <w:r>
              <w:rPr>
                <w:rFonts w:ascii="Arial" w:hAnsi="Arial" w:cs="Arial"/>
                <w:sz w:val="24"/>
                <w:szCs w:val="24"/>
              </w:rPr>
              <w:t xml:space="preserve"> to define who </w:t>
            </w:r>
            <w:r w:rsidR="00560E12"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z w:val="24"/>
                <w:szCs w:val="24"/>
              </w:rPr>
              <w:t xml:space="preserve"> not “regulatory agency”</w:t>
            </w:r>
            <w:r w:rsidR="00560E12">
              <w:rPr>
                <w:rFonts w:ascii="Arial" w:hAnsi="Arial" w:cs="Arial"/>
                <w:sz w:val="24"/>
                <w:szCs w:val="24"/>
              </w:rPr>
              <w:t xml:space="preserve"> to be included </w:t>
            </w:r>
            <w:r w:rsidR="00E65627">
              <w:rPr>
                <w:rFonts w:ascii="Arial" w:hAnsi="Arial" w:cs="Arial"/>
                <w:sz w:val="24"/>
                <w:szCs w:val="24"/>
              </w:rPr>
              <w:t>in</w:t>
            </w:r>
            <w:r w:rsidR="00560E12">
              <w:rPr>
                <w:rFonts w:ascii="Arial" w:hAnsi="Arial" w:cs="Arial"/>
                <w:sz w:val="24"/>
                <w:szCs w:val="24"/>
              </w:rPr>
              <w:t xml:space="preserve"> exclusion list</w:t>
            </w:r>
          </w:p>
        </w:tc>
      </w:tr>
      <w:tr w:rsidR="003F1FBF" w:rsidRPr="00145147" w14:paraId="2B0BC10C" w14:textId="77777777" w:rsidTr="00CD2A90">
        <w:trPr>
          <w:jc w:val="center"/>
        </w:trPr>
        <w:tc>
          <w:tcPr>
            <w:tcW w:w="236" w:type="pct"/>
          </w:tcPr>
          <w:p w14:paraId="3474B758" w14:textId="77777777" w:rsidR="003F1FBF" w:rsidRPr="00781D12" w:rsidRDefault="003F1FBF" w:rsidP="003F1F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pct"/>
          </w:tcPr>
          <w:p w14:paraId="7CAA87CD" w14:textId="77777777" w:rsidR="003F1FBF" w:rsidRPr="00781D12" w:rsidRDefault="003F1FBF" w:rsidP="003F1F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583EA54" w14:textId="3B71E2C0" w:rsidR="003F1FBF" w:rsidRDefault="003F1FBF" w:rsidP="003F1FBF">
            <w:pPr>
              <w:rPr>
                <w:rFonts w:ascii="Arial" w:hAnsi="Arial" w:cs="Arial"/>
                <w:sz w:val="24"/>
                <w:szCs w:val="24"/>
              </w:rPr>
            </w:pPr>
            <w:r w:rsidRPr="00C507FE">
              <w:rPr>
                <w:rFonts w:ascii="Arial" w:hAnsi="Arial" w:cs="Arial"/>
                <w:sz w:val="24"/>
                <w:szCs w:val="24"/>
              </w:rPr>
              <w:t>measures are not covered by this Chapter</w:t>
            </w:r>
            <w:r w:rsidR="00D613B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28C5B3" w14:textId="50A21438" w:rsidR="00BD580C" w:rsidRPr="00BD580C" w:rsidRDefault="00BD580C" w:rsidP="007337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D580C">
              <w:rPr>
                <w:rFonts w:ascii="Arial" w:hAnsi="Arial" w:cs="Arial"/>
                <w:sz w:val="24"/>
                <w:szCs w:val="24"/>
              </w:rPr>
              <w:t>MY attribut</w:t>
            </w:r>
            <w:r w:rsidR="001532C5">
              <w:rPr>
                <w:rFonts w:ascii="Arial" w:hAnsi="Arial" w:cs="Arial"/>
                <w:sz w:val="24"/>
                <w:szCs w:val="24"/>
              </w:rPr>
              <w:t>ion</w:t>
            </w:r>
            <w:r w:rsidRPr="00BD580C">
              <w:rPr>
                <w:rFonts w:ascii="Arial" w:hAnsi="Arial" w:cs="Arial"/>
                <w:sz w:val="24"/>
                <w:szCs w:val="24"/>
              </w:rPr>
              <w:t xml:space="preserve"> – Government Procurement</w:t>
            </w:r>
          </w:p>
        </w:tc>
        <w:tc>
          <w:tcPr>
            <w:tcW w:w="1115" w:type="pct"/>
          </w:tcPr>
          <w:p w14:paraId="00B299E7" w14:textId="77777777" w:rsidR="00F91A2A" w:rsidRPr="00F91A2A" w:rsidRDefault="00F91A2A" w:rsidP="00F91A2A">
            <w:pPr>
              <w:rPr>
                <w:rFonts w:ascii="Arial" w:hAnsi="Arial" w:cs="Arial"/>
                <w:sz w:val="24"/>
                <w:szCs w:val="24"/>
              </w:rPr>
            </w:pPr>
            <w:r w:rsidRPr="00F91A2A">
              <w:rPr>
                <w:rFonts w:ascii="Arial" w:hAnsi="Arial" w:cs="Arial"/>
                <w:sz w:val="24"/>
                <w:szCs w:val="24"/>
              </w:rPr>
              <w:t>[KR: (vii) criminal matters and criminal administration</w:t>
            </w:r>
          </w:p>
          <w:p w14:paraId="5EC6E44B" w14:textId="77777777" w:rsidR="00F91A2A" w:rsidRPr="00F91A2A" w:rsidRDefault="00F91A2A" w:rsidP="00F91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105FD" w14:textId="77777777" w:rsidR="00F91A2A" w:rsidRPr="00F91A2A" w:rsidRDefault="00F91A2A" w:rsidP="00F91A2A">
            <w:pPr>
              <w:rPr>
                <w:rFonts w:ascii="Arial" w:hAnsi="Arial" w:cs="Arial"/>
                <w:sz w:val="24"/>
                <w:szCs w:val="24"/>
              </w:rPr>
            </w:pPr>
            <w:r w:rsidRPr="00F91A2A">
              <w:rPr>
                <w:rFonts w:ascii="Arial" w:hAnsi="Arial" w:cs="Arial"/>
                <w:sz w:val="24"/>
                <w:szCs w:val="24"/>
              </w:rPr>
              <w:t>(viii) civil penalties and administrative fines</w:t>
            </w:r>
          </w:p>
          <w:p w14:paraId="66BF79B3" w14:textId="77777777" w:rsidR="00F91A2A" w:rsidRPr="00F91A2A" w:rsidRDefault="00F91A2A" w:rsidP="00F91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DFFB0" w14:textId="77777777" w:rsidR="003F1FBF" w:rsidRDefault="00F91A2A" w:rsidP="00F91A2A">
            <w:pPr>
              <w:rPr>
                <w:rFonts w:ascii="Arial" w:hAnsi="Arial" w:cs="Arial"/>
                <w:sz w:val="24"/>
                <w:szCs w:val="24"/>
              </w:rPr>
            </w:pPr>
            <w:r w:rsidRPr="00F91A2A">
              <w:rPr>
                <w:rFonts w:ascii="Arial" w:hAnsi="Arial" w:cs="Arial"/>
                <w:sz w:val="24"/>
                <w:szCs w:val="24"/>
              </w:rPr>
              <w:lastRenderedPageBreak/>
              <w:t xml:space="preserve">(ix) national security and national </w:t>
            </w:r>
            <w:proofErr w:type="spellStart"/>
            <w:r w:rsidRPr="00F91A2A">
              <w:rPr>
                <w:rFonts w:ascii="Arial" w:hAnsi="Arial" w:cs="Arial"/>
                <w:sz w:val="24"/>
                <w:szCs w:val="24"/>
              </w:rPr>
              <w:t>defense</w:t>
            </w:r>
            <w:proofErr w:type="spellEnd"/>
            <w:r w:rsidRPr="00F91A2A">
              <w:rPr>
                <w:rFonts w:ascii="Arial" w:hAnsi="Arial" w:cs="Arial"/>
                <w:sz w:val="24"/>
                <w:szCs w:val="24"/>
              </w:rPr>
              <w:t>;]</w:t>
            </w:r>
          </w:p>
          <w:p w14:paraId="4C79CD10" w14:textId="77777777" w:rsidR="00A865C5" w:rsidRDefault="00A865C5" w:rsidP="00F91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D85DE" w14:textId="4A573CDE" w:rsidR="00A865C5" w:rsidRDefault="00A865C5" w:rsidP="00F91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[BR (</w:t>
            </w:r>
            <w:r w:rsidR="00EE69CA">
              <w:rPr>
                <w:rFonts w:ascii="Arial" w:hAnsi="Arial" w:cs="Arial"/>
                <w:sz w:val="24"/>
                <w:szCs w:val="24"/>
              </w:rPr>
              <w:t>x) budget measures</w:t>
            </w:r>
            <w:r w:rsidR="00135477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6E69F660" w14:textId="77777777" w:rsidR="00977435" w:rsidRDefault="00977435" w:rsidP="00F91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8B1E8" w14:textId="70D5DC54" w:rsidR="00977435" w:rsidRDefault="00977435" w:rsidP="00F91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[ID (xi) Politics</w:t>
            </w:r>
            <w:r w:rsidR="00DD1B64">
              <w:rPr>
                <w:rFonts w:ascii="Arial" w:hAnsi="Arial" w:cs="Arial"/>
                <w:sz w:val="24"/>
                <w:szCs w:val="24"/>
              </w:rPr>
              <w:t xml:space="preserve"> / election</w:t>
            </w:r>
          </w:p>
          <w:p w14:paraId="7835322D" w14:textId="5AACAA1B" w:rsidR="00A865C5" w:rsidRDefault="00A865C5" w:rsidP="00F9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D56E954" w14:textId="77777777" w:rsidR="0073370C" w:rsidRPr="0073370C" w:rsidRDefault="0073370C" w:rsidP="007337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3370C">
              <w:rPr>
                <w:rFonts w:ascii="Arial" w:hAnsi="Arial" w:cs="Arial"/>
                <w:sz w:val="24"/>
                <w:szCs w:val="24"/>
              </w:rPr>
              <w:lastRenderedPageBreak/>
              <w:t xml:space="preserve">US intended to cover Government Procurement. </w:t>
            </w:r>
          </w:p>
          <w:p w14:paraId="7A6D38DF" w14:textId="12233E4F" w:rsidR="003F1FBF" w:rsidRDefault="00311CF7" w:rsidP="007337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3370C">
              <w:rPr>
                <w:rFonts w:ascii="Arial" w:hAnsi="Arial" w:cs="Arial"/>
                <w:sz w:val="24"/>
                <w:szCs w:val="24"/>
              </w:rPr>
              <w:t>AU seek justification why exclude financial services</w:t>
            </w:r>
            <w:r w:rsidR="00C243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D2D37F" w14:textId="64B06A11" w:rsidR="0037661B" w:rsidRPr="0073370C" w:rsidRDefault="0037661B" w:rsidP="007337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 </w:t>
            </w:r>
            <w:r w:rsidR="00E733E3">
              <w:rPr>
                <w:rFonts w:ascii="Arial" w:hAnsi="Arial" w:cs="Arial"/>
                <w:sz w:val="24"/>
                <w:szCs w:val="24"/>
              </w:rPr>
              <w:t>raise concern on definition of taxation</w:t>
            </w:r>
            <w:r w:rsidR="00B67410">
              <w:rPr>
                <w:rFonts w:ascii="Arial" w:hAnsi="Arial" w:cs="Arial"/>
                <w:sz w:val="24"/>
                <w:szCs w:val="24"/>
              </w:rPr>
              <w:t xml:space="preserve"> in GRP not consistent with </w:t>
            </w:r>
            <w:r w:rsidR="00B67410">
              <w:rPr>
                <w:rFonts w:ascii="Arial" w:hAnsi="Arial" w:cs="Arial"/>
                <w:sz w:val="24"/>
                <w:szCs w:val="24"/>
              </w:rPr>
              <w:lastRenderedPageBreak/>
              <w:t xml:space="preserve">General Provision (Taxation </w:t>
            </w:r>
            <w:r w:rsidR="006E6102">
              <w:rPr>
                <w:rFonts w:ascii="Arial" w:hAnsi="Arial" w:cs="Arial"/>
                <w:sz w:val="24"/>
                <w:szCs w:val="24"/>
              </w:rPr>
              <w:t>for KR include customs duty)</w:t>
            </w:r>
          </w:p>
        </w:tc>
        <w:tc>
          <w:tcPr>
            <w:tcW w:w="683" w:type="pct"/>
          </w:tcPr>
          <w:p w14:paraId="52087F62" w14:textId="73F93432" w:rsidR="003F1FBF" w:rsidRPr="00781D12" w:rsidRDefault="00AE3D19" w:rsidP="003F1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MY attribute – Government Procurement</w:t>
            </w:r>
          </w:p>
        </w:tc>
      </w:tr>
      <w:tr w:rsidR="00217ADF" w:rsidRPr="00217ADF" w14:paraId="66CFAF3E" w14:textId="66E531B0" w:rsidTr="00CD2A90">
        <w:trPr>
          <w:jc w:val="center"/>
        </w:trPr>
        <w:tc>
          <w:tcPr>
            <w:tcW w:w="236" w:type="pct"/>
          </w:tcPr>
          <w:p w14:paraId="63933F55" w14:textId="77777777" w:rsidR="003F1FBF" w:rsidRPr="00217ADF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7ADF">
              <w:rPr>
                <w:rFonts w:ascii="Arial" w:hAnsi="Arial" w:cs="Arial"/>
                <w:color w:val="FF0000"/>
                <w:sz w:val="24"/>
                <w:szCs w:val="24"/>
              </w:rPr>
              <w:t>X.2</w:t>
            </w:r>
          </w:p>
        </w:tc>
        <w:tc>
          <w:tcPr>
            <w:tcW w:w="735" w:type="pct"/>
          </w:tcPr>
          <w:p w14:paraId="22F18EA0" w14:textId="77777777" w:rsidR="003F1FBF" w:rsidRPr="00217ADF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7ADF">
              <w:rPr>
                <w:rFonts w:ascii="Arial" w:hAnsi="Arial" w:cs="Arial"/>
                <w:color w:val="FF0000"/>
                <w:sz w:val="24"/>
                <w:szCs w:val="24"/>
              </w:rPr>
              <w:t>Subject Matter and General Provisions</w:t>
            </w:r>
          </w:p>
        </w:tc>
        <w:tc>
          <w:tcPr>
            <w:tcW w:w="1115" w:type="pct"/>
          </w:tcPr>
          <w:p w14:paraId="27F9556F" w14:textId="77777777" w:rsidR="003F1FBF" w:rsidRPr="00217ADF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7ADF">
              <w:rPr>
                <w:rFonts w:ascii="Arial" w:hAnsi="Arial" w:cs="Arial"/>
                <w:color w:val="FF0000"/>
                <w:sz w:val="24"/>
                <w:szCs w:val="24"/>
              </w:rPr>
              <w:t>Emphasizes the importance of using good regulatory practices in the whole rule-making process in achieving policy objectives and promoting international trade and investment. Recognizes each Party's sovereign right to regulate.</w:t>
            </w:r>
          </w:p>
        </w:tc>
        <w:tc>
          <w:tcPr>
            <w:tcW w:w="1115" w:type="pct"/>
          </w:tcPr>
          <w:p w14:paraId="416907A4" w14:textId="79789A0B" w:rsidR="000D7C5D" w:rsidRPr="000204E3" w:rsidRDefault="00A8303D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>Para not</w:t>
            </w:r>
            <w:r w:rsidR="00447C3B" w:rsidRPr="000204E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404DF2" w:rsidRPr="000204E3">
              <w:rPr>
                <w:rFonts w:ascii="Arial" w:hAnsi="Arial" w:cs="Arial"/>
                <w:color w:val="FF0000"/>
                <w:sz w:val="24"/>
                <w:szCs w:val="24"/>
              </w:rPr>
              <w:t>conclude</w:t>
            </w:r>
            <w:r w:rsidR="00ED10A0" w:rsidRPr="000204E3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 w:rsidR="000D7C5D" w:rsidRPr="000204E3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</w:p>
          <w:p w14:paraId="22D00634" w14:textId="77777777" w:rsidR="000D7C5D" w:rsidRPr="000204E3" w:rsidRDefault="000D7C5D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8AB8A8" w14:textId="77777777" w:rsidR="000D7C5D" w:rsidRPr="000204E3" w:rsidRDefault="000D7C5D" w:rsidP="000D7C5D">
            <w:pPr>
              <w:pStyle w:val="Normal4"/>
              <w:spacing w:after="0"/>
              <w:rPr>
                <w:rFonts w:ascii="Arial" w:hAnsi="Arial" w:cs="Arial"/>
                <w:color w:val="FF0000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Cs w:val="24"/>
              </w:rPr>
              <w:t xml:space="preserve">2. </w:t>
            </w:r>
            <w:r w:rsidRPr="000204E3">
              <w:rPr>
                <w:rFonts w:ascii="Arial" w:hAnsi="Arial" w:cs="Arial"/>
                <w:color w:val="FF0000"/>
                <w:szCs w:val="24"/>
              </w:rPr>
              <w:tab/>
              <w:t xml:space="preserve">Accordingly, this Chapter sets out [US propose: FJ/ID/PH/TH/VN </w:t>
            </w:r>
            <w:proofErr w:type="gramStart"/>
            <w:r w:rsidRPr="000204E3">
              <w:rPr>
                <w:rFonts w:ascii="Arial" w:hAnsi="Arial" w:cs="Arial"/>
                <w:color w:val="FF0000"/>
                <w:szCs w:val="24"/>
              </w:rPr>
              <w:t>oppose:</w:t>
            </w:r>
            <w:proofErr w:type="gramEnd"/>
            <w:r w:rsidRPr="000204E3">
              <w:rPr>
                <w:rFonts w:ascii="Arial" w:hAnsi="Arial" w:cs="Arial"/>
                <w:color w:val="FF0000"/>
                <w:szCs w:val="24"/>
              </w:rPr>
              <w:t xml:space="preserve"> obligations and other] provisions with respect to good regulatory practices, including practices relating to regulatory planning, design, issuance, implementation, and review.</w:t>
            </w:r>
          </w:p>
          <w:p w14:paraId="234F5DD7" w14:textId="7556ED06" w:rsidR="003F1FBF" w:rsidRPr="000204E3" w:rsidRDefault="00D22F64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5BBC6DDD" w14:textId="5CE34733" w:rsidR="003F1FBF" w:rsidRPr="00217ADF" w:rsidRDefault="0050471C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7ADF">
              <w:rPr>
                <w:rFonts w:ascii="Arial" w:hAnsi="Arial" w:cs="Arial"/>
                <w:color w:val="FF0000"/>
                <w:sz w:val="24"/>
                <w:szCs w:val="24"/>
              </w:rPr>
              <w:t>n/a</w:t>
            </w:r>
          </w:p>
        </w:tc>
        <w:tc>
          <w:tcPr>
            <w:tcW w:w="683" w:type="pct"/>
          </w:tcPr>
          <w:p w14:paraId="01B00A4D" w14:textId="1B57EE35" w:rsidR="003F1FBF" w:rsidRPr="00217ADF" w:rsidRDefault="0050471C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17ADF">
              <w:rPr>
                <w:rFonts w:ascii="Arial" w:hAnsi="Arial" w:cs="Arial"/>
                <w:color w:val="FF0000"/>
                <w:sz w:val="24"/>
                <w:szCs w:val="24"/>
              </w:rPr>
              <w:t>n/a</w:t>
            </w:r>
          </w:p>
        </w:tc>
      </w:tr>
      <w:tr w:rsidR="008620CB" w:rsidRPr="008620CB" w14:paraId="655D8031" w14:textId="68F0A605" w:rsidTr="00CD2A90">
        <w:trPr>
          <w:jc w:val="center"/>
        </w:trPr>
        <w:tc>
          <w:tcPr>
            <w:tcW w:w="236" w:type="pct"/>
          </w:tcPr>
          <w:p w14:paraId="4882D64F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X.3</w:t>
            </w:r>
          </w:p>
        </w:tc>
        <w:tc>
          <w:tcPr>
            <w:tcW w:w="735" w:type="pct"/>
          </w:tcPr>
          <w:p w14:paraId="5E64670B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Central Regulatory Coordinating Bodies or Mechanisms</w:t>
            </w:r>
          </w:p>
        </w:tc>
        <w:tc>
          <w:tcPr>
            <w:tcW w:w="1115" w:type="pct"/>
          </w:tcPr>
          <w:p w14:paraId="4CD202BD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to establish or maintain central coordinating bodies for improving regulatory quality through consultation, coordination, and review mechanisms associated with the regulatory development process.</w:t>
            </w:r>
          </w:p>
        </w:tc>
        <w:tc>
          <w:tcPr>
            <w:tcW w:w="1115" w:type="pct"/>
          </w:tcPr>
          <w:p w14:paraId="2FBFDC29" w14:textId="650D2F76" w:rsidR="003F1FBF" w:rsidRPr="000204E3" w:rsidRDefault="00905913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n/a</w:t>
            </w:r>
          </w:p>
        </w:tc>
        <w:tc>
          <w:tcPr>
            <w:tcW w:w="1115" w:type="pct"/>
          </w:tcPr>
          <w:p w14:paraId="0837F277" w14:textId="78C80D65" w:rsidR="003F1FBF" w:rsidRPr="008620CB" w:rsidRDefault="00905913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n/a</w:t>
            </w:r>
          </w:p>
        </w:tc>
        <w:tc>
          <w:tcPr>
            <w:tcW w:w="683" w:type="pct"/>
          </w:tcPr>
          <w:p w14:paraId="731DEACD" w14:textId="4C49CDA0" w:rsidR="003F1FBF" w:rsidRPr="008620CB" w:rsidRDefault="00664D1D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</w:t>
            </w:r>
            <w:r w:rsidR="00905913" w:rsidRPr="00B45C43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oncluded</w:t>
            </w: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Busan</w:t>
            </w:r>
          </w:p>
        </w:tc>
      </w:tr>
      <w:tr w:rsidR="005A66C0" w:rsidRPr="00B53BF5" w14:paraId="1F86076A" w14:textId="4CBB2A66" w:rsidTr="00CD2A90">
        <w:trPr>
          <w:jc w:val="center"/>
        </w:trPr>
        <w:tc>
          <w:tcPr>
            <w:tcW w:w="236" w:type="pct"/>
          </w:tcPr>
          <w:p w14:paraId="4F0BC426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X.4</w:t>
            </w:r>
          </w:p>
        </w:tc>
        <w:tc>
          <w:tcPr>
            <w:tcW w:w="735" w:type="pct"/>
          </w:tcPr>
          <w:p w14:paraId="1170B24F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Internal Consultation, Coordination, and Review</w:t>
            </w:r>
          </w:p>
        </w:tc>
        <w:tc>
          <w:tcPr>
            <w:tcW w:w="1115" w:type="pct"/>
          </w:tcPr>
          <w:p w14:paraId="2B7545A3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whole of government adherence to good regulatory practices</w:t>
            </w:r>
          </w:p>
        </w:tc>
        <w:tc>
          <w:tcPr>
            <w:tcW w:w="1115" w:type="pct"/>
          </w:tcPr>
          <w:p w14:paraId="6C6D47CF" w14:textId="77777777" w:rsidR="003F1FBF" w:rsidRDefault="008E7DBA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>Malaysia support US ALT para 1: Each Party should establish or maintain appropriate processes or mechanisms as referred to in Article X.3 to, among other things:]</w:t>
            </w:r>
          </w:p>
          <w:p w14:paraId="4CFD35E3" w14:textId="4E0C74AA" w:rsidR="006C66C8" w:rsidRPr="000204E3" w:rsidRDefault="006C66C8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5" w:type="pct"/>
          </w:tcPr>
          <w:p w14:paraId="5DC667B9" w14:textId="6998A795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3" w:type="pct"/>
          </w:tcPr>
          <w:p w14:paraId="41AF430D" w14:textId="77777777" w:rsidR="008D496A" w:rsidRPr="00B53BF5" w:rsidRDefault="00C5261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TAC</w:t>
            </w:r>
          </w:p>
          <w:p w14:paraId="43565C5B" w14:textId="08D07EDE" w:rsidR="003F1FBF" w:rsidRPr="00B53BF5" w:rsidRDefault="00653525" w:rsidP="008D49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Obtain a</w:t>
            </w:r>
            <w:r w:rsidR="008D496A" w:rsidRPr="00B53BF5">
              <w:rPr>
                <w:rFonts w:ascii="Arial" w:hAnsi="Arial" w:cs="Arial"/>
                <w:color w:val="FF0000"/>
                <w:sz w:val="24"/>
                <w:szCs w:val="24"/>
              </w:rPr>
              <w:t>ccess to international standards</w:t>
            </w:r>
            <w:r w:rsidR="00C5261F"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66C0" w:rsidRPr="00B53BF5" w14:paraId="4A490B21" w14:textId="50E46164" w:rsidTr="00CD2A90">
        <w:trPr>
          <w:jc w:val="center"/>
        </w:trPr>
        <w:tc>
          <w:tcPr>
            <w:tcW w:w="236" w:type="pct"/>
          </w:tcPr>
          <w:p w14:paraId="73D733DD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X.5</w:t>
            </w:r>
          </w:p>
        </w:tc>
        <w:tc>
          <w:tcPr>
            <w:tcW w:w="735" w:type="pct"/>
          </w:tcPr>
          <w:p w14:paraId="21ED94A1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Information Quality</w:t>
            </w:r>
          </w:p>
        </w:tc>
        <w:tc>
          <w:tcPr>
            <w:tcW w:w="1115" w:type="pct"/>
          </w:tcPr>
          <w:p w14:paraId="326BBB55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Development of regulation rely on evidence, reliable information</w:t>
            </w:r>
          </w:p>
        </w:tc>
        <w:tc>
          <w:tcPr>
            <w:tcW w:w="1115" w:type="pct"/>
          </w:tcPr>
          <w:p w14:paraId="69FE735C" w14:textId="15D545F3" w:rsidR="003F1FBF" w:rsidRPr="000204E3" w:rsidRDefault="004442CB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>US ALT para 1: Each Party recognizes the need for &lt;regulations&gt; to be based upon information that is reliable and of high quality.</w:t>
            </w:r>
          </w:p>
        </w:tc>
        <w:tc>
          <w:tcPr>
            <w:tcW w:w="1115" w:type="pct"/>
          </w:tcPr>
          <w:p w14:paraId="619C7533" w14:textId="58B69208" w:rsidR="003F1FBF" w:rsidRPr="00B53BF5" w:rsidRDefault="00F5338D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n/a</w:t>
            </w:r>
          </w:p>
        </w:tc>
        <w:tc>
          <w:tcPr>
            <w:tcW w:w="683" w:type="pct"/>
          </w:tcPr>
          <w:p w14:paraId="647916D6" w14:textId="7AD2CF4C" w:rsidR="003F1FBF" w:rsidRPr="00B53BF5" w:rsidRDefault="00AE1520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Status quo – retain attribution</w:t>
            </w:r>
            <w:r w:rsidR="000C7712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to consider </w:t>
            </w:r>
            <w:r w:rsidR="00F5772B">
              <w:rPr>
                <w:rFonts w:ascii="Arial" w:hAnsi="Arial" w:cs="Arial"/>
                <w:color w:val="FF0000"/>
                <w:sz w:val="24"/>
                <w:szCs w:val="24"/>
              </w:rPr>
              <w:t>shift this para to GRP general provision Art.2</w:t>
            </w:r>
          </w:p>
        </w:tc>
      </w:tr>
      <w:tr w:rsidR="00B53BF5" w:rsidRPr="00B53BF5" w14:paraId="5298D114" w14:textId="55908D60" w:rsidTr="00CD2A90">
        <w:trPr>
          <w:jc w:val="center"/>
        </w:trPr>
        <w:tc>
          <w:tcPr>
            <w:tcW w:w="236" w:type="pct"/>
          </w:tcPr>
          <w:p w14:paraId="6F3CD683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X.6</w:t>
            </w:r>
          </w:p>
        </w:tc>
        <w:tc>
          <w:tcPr>
            <w:tcW w:w="735" w:type="pct"/>
          </w:tcPr>
          <w:p w14:paraId="0BFE6484" w14:textId="77777777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Early Planning</w:t>
            </w:r>
          </w:p>
        </w:tc>
        <w:tc>
          <w:tcPr>
            <w:tcW w:w="1115" w:type="pct"/>
          </w:tcPr>
          <w:p w14:paraId="3962D86C" w14:textId="0B80F43E" w:rsidR="003F1FBF" w:rsidRPr="00B53BF5" w:rsidRDefault="003F1FB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consistent with its laws and regulations to publish annually a list of regulations</w:t>
            </w:r>
            <w:r w:rsidR="002A7976"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 / regulatory action</w:t>
            </w: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 that it reasonably expects to adopt or propose to adopt within the following 12 months</w:t>
            </w:r>
          </w:p>
        </w:tc>
        <w:tc>
          <w:tcPr>
            <w:tcW w:w="1115" w:type="pct"/>
          </w:tcPr>
          <w:p w14:paraId="01951960" w14:textId="77777777" w:rsidR="009D1A1A" w:rsidRPr="000204E3" w:rsidRDefault="009D1A1A" w:rsidP="009D1A1A">
            <w:pPr>
              <w:ind w:left="1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 xml:space="preserve">US ALT para 1. Each Party shall publish at least annually the </w:t>
            </w:r>
            <w:r w:rsidRPr="000204E3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regulatory actions</w:t>
            </w: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 xml:space="preserve"> that it reasonably expects within the following 12 months to:</w:t>
            </w:r>
          </w:p>
          <w:p w14:paraId="4FFB3132" w14:textId="77777777" w:rsidR="009D1A1A" w:rsidRPr="000204E3" w:rsidRDefault="009D1A1A" w:rsidP="009D1A1A">
            <w:pPr>
              <w:ind w:left="1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9B2347" w14:textId="77777777" w:rsidR="009D1A1A" w:rsidRPr="000204E3" w:rsidRDefault="009D1A1A" w:rsidP="009D1A1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make available for public </w:t>
            </w:r>
            <w:proofErr w:type="gramStart"/>
            <w:r w:rsidRPr="000204E3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comment</w:t>
            </w: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>;</w:t>
            </w:r>
            <w:proofErr w:type="gramEnd"/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1619A064" w14:textId="77777777" w:rsidR="009D1A1A" w:rsidRPr="000204E3" w:rsidRDefault="009D1A1A" w:rsidP="009D1A1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>propose for adoption; or</w:t>
            </w:r>
          </w:p>
          <w:p w14:paraId="2015711E" w14:textId="702AD13A" w:rsidR="003F1FBF" w:rsidRPr="000204E3" w:rsidRDefault="009D1A1A" w:rsidP="009D1A1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04E3">
              <w:rPr>
                <w:rFonts w:ascii="Arial" w:hAnsi="Arial" w:cs="Arial"/>
                <w:color w:val="FF0000"/>
                <w:sz w:val="24"/>
                <w:szCs w:val="24"/>
              </w:rPr>
              <w:t>(c) adopt.</w:t>
            </w:r>
          </w:p>
        </w:tc>
        <w:tc>
          <w:tcPr>
            <w:tcW w:w="1115" w:type="pct"/>
          </w:tcPr>
          <w:p w14:paraId="7CCE519B" w14:textId="77777777" w:rsidR="003F1FBF" w:rsidRDefault="00F07E56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>US</w:t>
            </w:r>
            <w:r w:rsidR="007B474D"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 now use “regulatory action”</w:t>
            </w:r>
            <w:r w:rsidR="00D86143"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 rather than </w:t>
            </w:r>
            <w:r w:rsidR="00B53BF5"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“list of </w:t>
            </w:r>
            <w:proofErr w:type="gramStart"/>
            <w:r w:rsidR="00B53BF5" w:rsidRPr="00B53BF5">
              <w:rPr>
                <w:rFonts w:ascii="Arial" w:hAnsi="Arial" w:cs="Arial"/>
                <w:color w:val="FF0000"/>
                <w:sz w:val="24"/>
                <w:szCs w:val="24"/>
              </w:rPr>
              <w:t>regulation”</w:t>
            </w:r>
            <w:proofErr w:type="gramEnd"/>
          </w:p>
          <w:p w14:paraId="57157EF1" w14:textId="77777777" w:rsidR="009E2EAE" w:rsidRDefault="009E2EAE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1A1431E" w14:textId="133443B0" w:rsidR="00366F9F" w:rsidRPr="00B53BF5" w:rsidRDefault="00366F9F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Current practices – we publish </w:t>
            </w:r>
            <w:r w:rsidR="0038399F">
              <w:rPr>
                <w:rFonts w:ascii="Arial" w:hAnsi="Arial" w:cs="Arial"/>
                <w:color w:val="FF0000"/>
                <w:sz w:val="24"/>
                <w:szCs w:val="24"/>
              </w:rPr>
              <w:t xml:space="preserve">the annual regulatory plan but </w:t>
            </w:r>
            <w:r w:rsidR="001A16F2">
              <w:rPr>
                <w:rFonts w:ascii="Arial" w:hAnsi="Arial" w:cs="Arial"/>
                <w:color w:val="FF0000"/>
                <w:sz w:val="24"/>
                <w:szCs w:val="24"/>
              </w:rPr>
              <w:t>not for public comment.</w:t>
            </w:r>
          </w:p>
        </w:tc>
        <w:tc>
          <w:tcPr>
            <w:tcW w:w="683" w:type="pct"/>
          </w:tcPr>
          <w:p w14:paraId="258C7AE3" w14:textId="5E5B33FB" w:rsidR="003F1FBF" w:rsidRPr="00B53BF5" w:rsidRDefault="00487900" w:rsidP="003F1F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53BF5">
              <w:rPr>
                <w:rFonts w:ascii="Arial" w:hAnsi="Arial" w:cs="Arial"/>
                <w:color w:val="FF0000"/>
                <w:sz w:val="24"/>
                <w:szCs w:val="24"/>
              </w:rPr>
              <w:t xml:space="preserve">MY will not support the US ALT para 1.  </w:t>
            </w:r>
          </w:p>
        </w:tc>
      </w:tr>
      <w:tr w:rsidR="00E162D6" w:rsidRPr="00E162D6" w14:paraId="0902604E" w14:textId="4B491E2A" w:rsidTr="00CD2A90">
        <w:trPr>
          <w:jc w:val="center"/>
        </w:trPr>
        <w:tc>
          <w:tcPr>
            <w:tcW w:w="236" w:type="pct"/>
          </w:tcPr>
          <w:p w14:paraId="4B99DDC8" w14:textId="77777777" w:rsidR="003F1FBF" w:rsidRPr="00E162D6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>X.7</w:t>
            </w:r>
          </w:p>
        </w:tc>
        <w:tc>
          <w:tcPr>
            <w:tcW w:w="735" w:type="pct"/>
          </w:tcPr>
          <w:p w14:paraId="68DE229C" w14:textId="77777777" w:rsidR="003F1FBF" w:rsidRPr="00E162D6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Regulatory Transparency Tools  </w:t>
            </w:r>
          </w:p>
        </w:tc>
        <w:tc>
          <w:tcPr>
            <w:tcW w:w="1115" w:type="pct"/>
          </w:tcPr>
          <w:p w14:paraId="2CE2BC86" w14:textId="77777777" w:rsidR="003F1FBF" w:rsidRPr="00E162D6" w:rsidRDefault="003F1FBF" w:rsidP="003F1F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use information technology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tools</w:t>
            </w:r>
            <w:proofErr w:type="gramEnd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  <w:p w14:paraId="11673234" w14:textId="77777777" w:rsidR="003F1FBF" w:rsidRPr="00E162D6" w:rsidRDefault="003F1FBF" w:rsidP="003F1F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transparency and efficiency for developing and implementing regulations, </w:t>
            </w:r>
          </w:p>
          <w:p w14:paraId="3EFDC058" w14:textId="77777777" w:rsidR="003F1FBF" w:rsidRPr="00E162D6" w:rsidRDefault="003F1FBF" w:rsidP="003F1F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publish laws and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regulations</w:t>
            </w:r>
            <w:proofErr w:type="gramEnd"/>
          </w:p>
          <w:p w14:paraId="27C8C670" w14:textId="77777777" w:rsidR="003F1FBF" w:rsidRPr="00E162D6" w:rsidRDefault="003F1FBF" w:rsidP="003F1F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processes and mechanisms used to prepare, evaluate, or review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regulations</w:t>
            </w:r>
            <w:proofErr w:type="gramEnd"/>
          </w:p>
          <w:p w14:paraId="5C7181B0" w14:textId="77777777" w:rsidR="003F1FBF" w:rsidRPr="00E162D6" w:rsidRDefault="003F1FBF" w:rsidP="003F1F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greater access to information and increase participation in the regulatory process.</w:t>
            </w:r>
          </w:p>
          <w:p w14:paraId="09893653" w14:textId="77777777" w:rsidR="003F1FBF" w:rsidRPr="00E162D6" w:rsidRDefault="003F1FBF" w:rsidP="003F1F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digital signatures and digital record submissions</w:t>
            </w:r>
          </w:p>
        </w:tc>
        <w:tc>
          <w:tcPr>
            <w:tcW w:w="1115" w:type="pct"/>
          </w:tcPr>
          <w:p w14:paraId="03C88F20" w14:textId="77777777" w:rsidR="003F1FBF" w:rsidRPr="00E162D6" w:rsidRDefault="00D449A7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Art 7 is merged with Art.15</w:t>
            </w:r>
          </w:p>
          <w:p w14:paraId="42A7B442" w14:textId="77777777" w:rsidR="005F7021" w:rsidRPr="00E162D6" w:rsidRDefault="005F7021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644149B" w14:textId="77777777" w:rsidR="0086130C" w:rsidRPr="00E162D6" w:rsidRDefault="0086130C" w:rsidP="0086130C">
            <w:pPr>
              <w:pStyle w:val="ListParagraph"/>
              <w:ind w:left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3. Each Party shall:</w:t>
            </w:r>
          </w:p>
          <w:p w14:paraId="7CD734C7" w14:textId="77777777" w:rsidR="0086130C" w:rsidRPr="00E162D6" w:rsidRDefault="0086130C" w:rsidP="0086130C">
            <w:pPr>
              <w:pStyle w:val="ListParagraph"/>
              <w:ind w:left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6710B884" w14:textId="77777777" w:rsidR="0086130C" w:rsidRPr="00E162D6" w:rsidRDefault="0086130C" w:rsidP="0086130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publish online a general description of the processes and mechanisms used to prepare, evaluate, or review &lt;regulations&gt;, such as the applicable guidelines, rules, or procedures, including where there are opportunities for public input, or review; and</w:t>
            </w:r>
          </w:p>
          <w:p w14:paraId="07839478" w14:textId="77777777" w:rsidR="0086130C" w:rsidRPr="00E162D6" w:rsidRDefault="0086130C" w:rsidP="0086130C">
            <w:pPr>
              <w:pStyle w:val="ListParagraph"/>
              <w:ind w:left="81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5DE38460" w14:textId="77777777" w:rsidR="0086130C" w:rsidRPr="00E162D6" w:rsidRDefault="0086130C" w:rsidP="0086130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ensure that its laws and regulations are promptly published and made available on a free, publicly accessible website,</w:t>
            </w:r>
            <w:r w:rsidRPr="00E162D6">
              <w:rPr>
                <w:rFonts w:ascii="Arial" w:eastAsia="Times New Roman" w:hAnsi="Arial" w:cs="Arial"/>
                <w:color w:val="4472C4" w:themeColor="accent1"/>
                <w:sz w:val="24"/>
                <w:szCs w:val="24"/>
              </w:rPr>
              <w:t xml:space="preserve"> to enable interested persons and the other Parties to become acquainted with them</w:t>
            </w: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  <w:p w14:paraId="79BDBE9F" w14:textId="77777777" w:rsidR="00B14B6B" w:rsidRPr="00E162D6" w:rsidRDefault="00B14B6B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7F46D7DD" w14:textId="77777777" w:rsidR="00B14B6B" w:rsidRPr="00E162D6" w:rsidRDefault="00B14B6B" w:rsidP="00B14B6B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6. Each Party shall also make publicly available online: </w:t>
            </w:r>
          </w:p>
          <w:p w14:paraId="5BD42E19" w14:textId="77777777" w:rsidR="00B14B6B" w:rsidRPr="00E162D6" w:rsidRDefault="00B14B6B" w:rsidP="00B14B6B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75F955D0" w14:textId="77777777" w:rsidR="00B14B6B" w:rsidRPr="00E162D6" w:rsidRDefault="00B14B6B" w:rsidP="00B14B6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 description of the functions of each regulatory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agency;</w:t>
            </w:r>
            <w:proofErr w:type="gramEnd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  <w:p w14:paraId="795DF981" w14:textId="77777777" w:rsidR="00B14B6B" w:rsidRPr="00E162D6" w:rsidRDefault="00B14B6B" w:rsidP="00B14B6B">
            <w:pPr>
              <w:pStyle w:val="ListParagrap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2539CE43" w14:textId="77777777" w:rsidR="00B14B6B" w:rsidRPr="00E162D6" w:rsidRDefault="00B14B6B" w:rsidP="00B14B6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any compliance, verification, or inspection responsibilities of each regulatory agency; and</w:t>
            </w:r>
          </w:p>
          <w:p w14:paraId="35AAB8AE" w14:textId="77777777" w:rsidR="00B14B6B" w:rsidRPr="00E162D6" w:rsidRDefault="00B14B6B" w:rsidP="00B14B6B">
            <w:pPr>
              <w:pStyle w:val="ListParagrap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717BCAF7" w14:textId="77777777" w:rsidR="00B14B6B" w:rsidRPr="00E162D6" w:rsidRDefault="00B14B6B" w:rsidP="00B14B6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information to support compliance with specific &lt;regulations&gt;, such as fees charged, forms required, or guidance documents.</w:t>
            </w:r>
          </w:p>
          <w:p w14:paraId="4E8AD343" w14:textId="77777777" w:rsidR="007E73E0" w:rsidRPr="00E162D6" w:rsidRDefault="007E73E0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6FF5CB84" w14:textId="3ED7A09C" w:rsidR="005F7021" w:rsidRPr="00E162D6" w:rsidRDefault="007E73E0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eastAsia="Times New Roman" w:hAnsi="Arial" w:cs="Arial"/>
                <w:color w:val="4472C4" w:themeColor="accent1"/>
                <w:sz w:val="24"/>
                <w:szCs w:val="24"/>
              </w:rPr>
              <w:t>8. Each Party shall, without undue delay, update the information made available online under Article 7 to reflect any material changes to the information.</w:t>
            </w:r>
            <w:r w:rsidR="004A7C12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115" w:type="pct"/>
          </w:tcPr>
          <w:p w14:paraId="5A31E531" w14:textId="77777777" w:rsidR="00246E03" w:rsidRPr="00E162D6" w:rsidRDefault="00246E03" w:rsidP="00246E03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4. Each Party should establish or maintain a single, free website where draft &lt;regulations&gt; and comments received are posted.</w:t>
            </w:r>
          </w:p>
          <w:p w14:paraId="0DD6730C" w14:textId="77777777" w:rsidR="0094528F" w:rsidRPr="00E162D6" w:rsidRDefault="0094528F" w:rsidP="00246E03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01D9AFA4" w14:textId="77777777" w:rsidR="0094528F" w:rsidRPr="00E162D6" w:rsidRDefault="0094528F" w:rsidP="00246E03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2B34A0F2" w14:textId="77777777" w:rsidR="003E4237" w:rsidRPr="00E162D6" w:rsidRDefault="003E4237" w:rsidP="003E4237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“SHALL” use for Para 3, 6 &amp; 8</w:t>
            </w:r>
          </w:p>
          <w:p w14:paraId="6572CA16" w14:textId="54872176" w:rsidR="003F1FBF" w:rsidRPr="00E162D6" w:rsidRDefault="003E4237" w:rsidP="008620CB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MY </w:t>
            </w:r>
            <w:r w:rsidR="009A4F43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had no issue to comply with SHALL obligation.</w:t>
            </w:r>
          </w:p>
          <w:p w14:paraId="2605AFDD" w14:textId="77777777" w:rsidR="001E2CB3" w:rsidRPr="00E162D6" w:rsidRDefault="001E2CB3" w:rsidP="008620CB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  <w:p w14:paraId="140294C1" w14:textId="4EED5E0A" w:rsidR="00B66A81" w:rsidRPr="00E162D6" w:rsidRDefault="00B66A81" w:rsidP="008620CB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MY </w:t>
            </w:r>
            <w:r w:rsidR="000555BD"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position &amp; </w:t>
            </w:r>
            <w:r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attribution</w:t>
            </w:r>
            <w:r w:rsidR="00B86332"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:</w:t>
            </w:r>
          </w:p>
          <w:p w14:paraId="3E3B6E47" w14:textId="23C224A3" w:rsidR="00B86332" w:rsidRPr="00E162D6" w:rsidRDefault="00B86332" w:rsidP="000555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Oppose Para 4 &amp; Para 5</w:t>
            </w:r>
            <w:r w:rsidR="000555BD"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because on </w:t>
            </w:r>
            <w:r w:rsidR="00E544F2" w:rsidRPr="00E162D6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“draft regulation”</w:t>
            </w:r>
          </w:p>
        </w:tc>
        <w:tc>
          <w:tcPr>
            <w:tcW w:w="683" w:type="pct"/>
          </w:tcPr>
          <w:p w14:paraId="4F17168F" w14:textId="5CFAE75D" w:rsidR="003F1FBF" w:rsidRPr="00E162D6" w:rsidRDefault="00157631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MY proposed </w:t>
            </w:r>
            <w:r w:rsidR="008944E2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either </w:t>
            </w: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to change </w:t>
            </w:r>
            <w:r w:rsidR="008944E2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draft regulation to consultation</w:t>
            </w:r>
            <w:r w:rsidR="002677F9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documents or define (footnote) the definition </w:t>
            </w:r>
            <w:r w:rsidR="006748E4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of draft regulation for </w:t>
            </w:r>
            <w:r w:rsidR="00316A4A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para 4 &amp; para 5</w:t>
            </w:r>
            <w:r w:rsidR="00F56285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</w:p>
        </w:tc>
      </w:tr>
      <w:tr w:rsidR="008620CB" w:rsidRPr="008620CB" w14:paraId="2B4456AE" w14:textId="2C82EA1D" w:rsidTr="00CD2A90">
        <w:trPr>
          <w:jc w:val="center"/>
        </w:trPr>
        <w:tc>
          <w:tcPr>
            <w:tcW w:w="236" w:type="pct"/>
          </w:tcPr>
          <w:p w14:paraId="3B3540E4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X.8</w:t>
            </w:r>
          </w:p>
        </w:tc>
        <w:tc>
          <w:tcPr>
            <w:tcW w:w="735" w:type="pct"/>
          </w:tcPr>
          <w:p w14:paraId="05073948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Use of Plain Language</w:t>
            </w:r>
          </w:p>
        </w:tc>
        <w:tc>
          <w:tcPr>
            <w:tcW w:w="1115" w:type="pct"/>
          </w:tcPr>
          <w:p w14:paraId="012D3974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adopt or maintain procedures to encourage the use of plain language</w:t>
            </w:r>
          </w:p>
        </w:tc>
        <w:tc>
          <w:tcPr>
            <w:tcW w:w="1115" w:type="pct"/>
          </w:tcPr>
          <w:p w14:paraId="3F01D6C1" w14:textId="645B74B5" w:rsidR="003F1FBF" w:rsidRPr="008620CB" w:rsidRDefault="004E1B1A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n/a</w:t>
            </w:r>
          </w:p>
        </w:tc>
        <w:tc>
          <w:tcPr>
            <w:tcW w:w="1115" w:type="pct"/>
          </w:tcPr>
          <w:p w14:paraId="44988C1F" w14:textId="364C5D0F" w:rsidR="003F1FBF" w:rsidRPr="008620CB" w:rsidRDefault="004E1B1A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n/a</w:t>
            </w:r>
          </w:p>
        </w:tc>
        <w:tc>
          <w:tcPr>
            <w:tcW w:w="683" w:type="pct"/>
          </w:tcPr>
          <w:p w14:paraId="355C2491" w14:textId="2E870470" w:rsidR="003F1FBF" w:rsidRPr="008620CB" w:rsidRDefault="00664D1D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</w:t>
            </w:r>
            <w:r w:rsidR="00B45C43" w:rsidRPr="00B45C43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oncluded</w:t>
            </w: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Busan</w:t>
            </w:r>
          </w:p>
        </w:tc>
      </w:tr>
      <w:tr w:rsidR="00E162D6" w:rsidRPr="00E162D6" w14:paraId="119F99F9" w14:textId="5D1F26B1" w:rsidTr="00CD2A90">
        <w:trPr>
          <w:jc w:val="center"/>
        </w:trPr>
        <w:tc>
          <w:tcPr>
            <w:tcW w:w="236" w:type="pct"/>
          </w:tcPr>
          <w:p w14:paraId="77BE2DBF" w14:textId="77777777" w:rsidR="003F1FBF" w:rsidRPr="00E162D6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X.9</w:t>
            </w:r>
          </w:p>
        </w:tc>
        <w:tc>
          <w:tcPr>
            <w:tcW w:w="735" w:type="pct"/>
          </w:tcPr>
          <w:p w14:paraId="55EDDEBD" w14:textId="77777777" w:rsidR="003F1FBF" w:rsidRPr="00E162D6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Transparent Development of Regulations</w:t>
            </w:r>
          </w:p>
        </w:tc>
        <w:tc>
          <w:tcPr>
            <w:tcW w:w="1115" w:type="pct"/>
          </w:tcPr>
          <w:p w14:paraId="2186D74C" w14:textId="77777777" w:rsidR="003F1FBF" w:rsidRPr="00E162D6" w:rsidRDefault="003F1FBF" w:rsidP="003F1F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Publish proposed regulatory measure and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RIS</w:t>
            </w:r>
            <w:proofErr w:type="gramEnd"/>
          </w:p>
          <w:p w14:paraId="4CFE41E5" w14:textId="77777777" w:rsidR="003F1FBF" w:rsidRPr="00E162D6" w:rsidRDefault="003F1FBF" w:rsidP="003F1F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 xml:space="preserve">opportunity to submit written comments on proposed regulatory </w:t>
            </w:r>
            <w:proofErr w:type="gramStart"/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measures</w:t>
            </w:r>
            <w:proofErr w:type="gramEnd"/>
          </w:p>
          <w:p w14:paraId="5132CC60" w14:textId="77777777" w:rsidR="003F1FBF" w:rsidRPr="00E162D6" w:rsidRDefault="003F1FBF" w:rsidP="003F1F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consultation must not less than 60 days</w:t>
            </w:r>
          </w:p>
        </w:tc>
        <w:tc>
          <w:tcPr>
            <w:tcW w:w="1115" w:type="pct"/>
          </w:tcPr>
          <w:p w14:paraId="24D76514" w14:textId="7AB3D5A7" w:rsidR="003F1FBF" w:rsidRPr="00E162D6" w:rsidRDefault="00C8398B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</w:rPr>
              <w:lastRenderedPageBreak/>
              <w:t>US proposed new ALT and w</w:t>
            </w:r>
            <w:r w:rsidR="001E5C9F" w:rsidRPr="00E162D6">
              <w:rPr>
                <w:rFonts w:ascii="Arial" w:hAnsi="Arial" w:cs="Arial"/>
                <w:color w:val="4472C4" w:themeColor="accent1"/>
                <w:sz w:val="24"/>
                <w:szCs w:val="24"/>
              </w:rPr>
              <w:t>ill be discuss during inter-sessional meeting</w:t>
            </w:r>
            <w:r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scheduled on 5/10/2023</w:t>
            </w:r>
          </w:p>
        </w:tc>
        <w:tc>
          <w:tcPr>
            <w:tcW w:w="1115" w:type="pct"/>
          </w:tcPr>
          <w:p w14:paraId="6CD71077" w14:textId="77777777" w:rsidR="003F1FBF" w:rsidRPr="00E162D6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0F1C2E38" w14:textId="77777777" w:rsidR="003F1FBF" w:rsidRPr="00E162D6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472ED6D9" w14:textId="60BE9281" w:rsidTr="00CD2A90">
        <w:trPr>
          <w:jc w:val="center"/>
        </w:trPr>
        <w:tc>
          <w:tcPr>
            <w:tcW w:w="236" w:type="pct"/>
          </w:tcPr>
          <w:p w14:paraId="32E2AFDD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X.10</w:t>
            </w:r>
          </w:p>
        </w:tc>
        <w:tc>
          <w:tcPr>
            <w:tcW w:w="735" w:type="pct"/>
          </w:tcPr>
          <w:p w14:paraId="3D8172EC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Expert Advisory Groups and Bodies</w:t>
            </w:r>
          </w:p>
        </w:tc>
        <w:tc>
          <w:tcPr>
            <w:tcW w:w="1115" w:type="pct"/>
          </w:tcPr>
          <w:p w14:paraId="2A22A612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establish groups or bodies to seek expert advice and recommendations with respect to the preparation or implementation of regulations</w:t>
            </w:r>
          </w:p>
        </w:tc>
        <w:tc>
          <w:tcPr>
            <w:tcW w:w="1115" w:type="pct"/>
          </w:tcPr>
          <w:p w14:paraId="0E49CE51" w14:textId="50708EA4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D2107A4" w14:textId="063F962A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0A074D76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3BD345B4" w14:textId="6A8CBF48" w:rsidTr="00CD2A90">
        <w:trPr>
          <w:jc w:val="center"/>
        </w:trPr>
        <w:tc>
          <w:tcPr>
            <w:tcW w:w="236" w:type="pct"/>
          </w:tcPr>
          <w:p w14:paraId="6AF52C7B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X.11</w:t>
            </w:r>
          </w:p>
        </w:tc>
        <w:tc>
          <w:tcPr>
            <w:tcW w:w="735" w:type="pct"/>
          </w:tcPr>
          <w:p w14:paraId="5AB848DE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Regulatory Analysis</w:t>
            </w:r>
          </w:p>
        </w:tc>
        <w:tc>
          <w:tcPr>
            <w:tcW w:w="1115" w:type="pct"/>
          </w:tcPr>
          <w:p w14:paraId="6AD052EC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conduct regulatory impact assessments when developing proposed covered regulatory measures</w:t>
            </w:r>
          </w:p>
        </w:tc>
        <w:tc>
          <w:tcPr>
            <w:tcW w:w="1115" w:type="pct"/>
          </w:tcPr>
          <w:p w14:paraId="550A259D" w14:textId="3A3E245A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151D7DF" w14:textId="091D0B10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34930EDD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70714615" w14:textId="4CFD7BDF" w:rsidTr="00CD2A90">
        <w:trPr>
          <w:jc w:val="center"/>
        </w:trPr>
        <w:tc>
          <w:tcPr>
            <w:tcW w:w="236" w:type="pct"/>
          </w:tcPr>
          <w:p w14:paraId="3325CD01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X.12</w:t>
            </w:r>
          </w:p>
        </w:tc>
        <w:tc>
          <w:tcPr>
            <w:tcW w:w="735" w:type="pct"/>
          </w:tcPr>
          <w:p w14:paraId="4C3670A9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Final Publication</w:t>
            </w:r>
          </w:p>
        </w:tc>
        <w:tc>
          <w:tcPr>
            <w:tcW w:w="1115" w:type="pct"/>
          </w:tcPr>
          <w:p w14:paraId="5F8CE04E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publish in the text of the regulation, in the final regulatory impact assessment the date by which compliance is required.</w:t>
            </w:r>
          </w:p>
        </w:tc>
        <w:tc>
          <w:tcPr>
            <w:tcW w:w="1115" w:type="pct"/>
          </w:tcPr>
          <w:p w14:paraId="3A85F32B" w14:textId="5402D95F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FCE8280" w14:textId="7D056BBB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3385F3A1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3F224825" w14:textId="29165E40" w:rsidTr="00CD2A90">
        <w:trPr>
          <w:jc w:val="center"/>
        </w:trPr>
        <w:tc>
          <w:tcPr>
            <w:tcW w:w="236" w:type="pct"/>
          </w:tcPr>
          <w:p w14:paraId="449A8ED0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X.13</w:t>
            </w:r>
          </w:p>
        </w:tc>
        <w:tc>
          <w:tcPr>
            <w:tcW w:w="735" w:type="pct"/>
          </w:tcPr>
          <w:p w14:paraId="78658CB6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Review of Regulations Currently in Effect</w:t>
            </w:r>
          </w:p>
          <w:p w14:paraId="6AD4296F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8468953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reviews a regulation currently in effect</w:t>
            </w:r>
          </w:p>
        </w:tc>
        <w:tc>
          <w:tcPr>
            <w:tcW w:w="1115" w:type="pct"/>
          </w:tcPr>
          <w:p w14:paraId="750F14AF" w14:textId="76C7755C" w:rsidR="003F1FBF" w:rsidRPr="00B45C43" w:rsidRDefault="005560D2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[BN/</w:t>
            </w:r>
            <w:r w:rsidR="00F256AF"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MY</w:t>
            </w:r>
            <w:r w:rsidR="00DC5725">
              <w:rPr>
                <w:rFonts w:ascii="Arial" w:hAnsi="Arial" w:cs="Arial"/>
                <w:color w:val="4472C4" w:themeColor="accent1"/>
                <w:sz w:val="24"/>
                <w:szCs w:val="24"/>
              </w:rPr>
              <w:t>/</w:t>
            </w: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US propose; ALT (d): ways to address regulatory differences among the Parties that may adversely affect trade</w:t>
            </w:r>
            <w:r w:rsidR="009F0F78"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[</w:t>
            </w:r>
            <w:r w:rsidR="00ED62FF">
              <w:rPr>
                <w:rFonts w:ascii="Arial" w:hAnsi="Arial" w:cs="Arial"/>
                <w:color w:val="4472C4" w:themeColor="accent1"/>
                <w:sz w:val="24"/>
                <w:szCs w:val="24"/>
              </w:rPr>
              <w:t>BR/</w:t>
            </w:r>
            <w:r w:rsidR="009F0F78"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MY</w:t>
            </w:r>
            <w:r w:rsidR="00ED62FF">
              <w:rPr>
                <w:rFonts w:ascii="Arial" w:hAnsi="Arial" w:cs="Arial"/>
                <w:color w:val="4472C4" w:themeColor="accent1"/>
                <w:sz w:val="24"/>
                <w:szCs w:val="24"/>
              </w:rPr>
              <w:t>:</w:t>
            </w:r>
            <w:r w:rsidR="009F0F78"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and investment]</w:t>
            </w: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; and]</w:t>
            </w:r>
          </w:p>
        </w:tc>
        <w:tc>
          <w:tcPr>
            <w:tcW w:w="1115" w:type="pct"/>
          </w:tcPr>
          <w:p w14:paraId="5E996E1D" w14:textId="0C59F5D8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5A2A9391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626FEE91" w14:textId="5FFE6D85" w:rsidTr="00CD2A90">
        <w:trPr>
          <w:jc w:val="center"/>
        </w:trPr>
        <w:tc>
          <w:tcPr>
            <w:tcW w:w="236" w:type="pct"/>
          </w:tcPr>
          <w:p w14:paraId="213685B7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X.14</w:t>
            </w:r>
          </w:p>
        </w:tc>
        <w:tc>
          <w:tcPr>
            <w:tcW w:w="735" w:type="pct"/>
          </w:tcPr>
          <w:p w14:paraId="43B481E4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Suggestions for Improvement</w:t>
            </w:r>
          </w:p>
        </w:tc>
        <w:tc>
          <w:tcPr>
            <w:tcW w:w="1115" w:type="pct"/>
          </w:tcPr>
          <w:p w14:paraId="7EE7DB72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regulatory authority </w:t>
            </w:r>
            <w:proofErr w:type="gramStart"/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provide</w:t>
            </w:r>
            <w:proofErr w:type="gramEnd"/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the opportunity for any interested person to submit written suggestions for the issuance, modification, or repeal of a regulation.</w:t>
            </w:r>
          </w:p>
        </w:tc>
        <w:tc>
          <w:tcPr>
            <w:tcW w:w="1115" w:type="pct"/>
          </w:tcPr>
          <w:p w14:paraId="1FDA9987" w14:textId="634F9667" w:rsidR="003F1FBF" w:rsidRPr="00B45C43" w:rsidRDefault="003D4AE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Deleted and </w:t>
            </w:r>
            <w:r w:rsidR="001B6FB2">
              <w:rPr>
                <w:rFonts w:ascii="Arial" w:hAnsi="Arial" w:cs="Arial"/>
                <w:color w:val="4472C4" w:themeColor="accent1"/>
                <w:sz w:val="24"/>
                <w:szCs w:val="24"/>
              </w:rPr>
              <w:t>merged</w:t>
            </w:r>
            <w:r w:rsidR="00DC5725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to X.13</w:t>
            </w:r>
          </w:p>
        </w:tc>
        <w:tc>
          <w:tcPr>
            <w:tcW w:w="1115" w:type="pct"/>
          </w:tcPr>
          <w:p w14:paraId="6B381AFB" w14:textId="0BA750B5" w:rsidR="003F1FBF" w:rsidRPr="00B45C43" w:rsidRDefault="003F1FBF" w:rsidP="008620CB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3EBC5F22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14FE173B" w14:textId="3EC3352E" w:rsidTr="00CD2A90">
        <w:trPr>
          <w:jc w:val="center"/>
        </w:trPr>
        <w:tc>
          <w:tcPr>
            <w:tcW w:w="236" w:type="pct"/>
          </w:tcPr>
          <w:p w14:paraId="7B20135A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X.15</w:t>
            </w:r>
          </w:p>
        </w:tc>
        <w:tc>
          <w:tcPr>
            <w:tcW w:w="735" w:type="pct"/>
          </w:tcPr>
          <w:p w14:paraId="18936C5E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Information About Regulatory Processes and Authorities</w:t>
            </w:r>
          </w:p>
        </w:tc>
        <w:tc>
          <w:tcPr>
            <w:tcW w:w="1115" w:type="pct"/>
          </w:tcPr>
          <w:p w14:paraId="6AB1119C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publish online:</w:t>
            </w:r>
          </w:p>
          <w:p w14:paraId="25FD881B" w14:textId="77777777" w:rsidR="003F1FBF" w:rsidRPr="00B45C43" w:rsidRDefault="003F1FBF" w:rsidP="003F1F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processes and mechanisms to prepare, evaluate, review regulations and </w:t>
            </w:r>
            <w:proofErr w:type="gramStart"/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consultation</w:t>
            </w:r>
            <w:proofErr w:type="gramEnd"/>
          </w:p>
          <w:p w14:paraId="0A5B4602" w14:textId="77777777" w:rsidR="003F1FBF" w:rsidRPr="00B45C43" w:rsidRDefault="003F1FBF" w:rsidP="003F1F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description of the regulatory </w:t>
            </w:r>
            <w:proofErr w:type="gramStart"/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authorities</w:t>
            </w:r>
            <w:proofErr w:type="gramEnd"/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functions</w:t>
            </w:r>
          </w:p>
          <w:p w14:paraId="6A99782A" w14:textId="77777777" w:rsidR="003F1FBF" w:rsidRPr="00B45C43" w:rsidRDefault="003F1FBF" w:rsidP="003F1F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any procedural requirements</w:t>
            </w:r>
          </w:p>
          <w:p w14:paraId="1CA3E15D" w14:textId="77777777" w:rsidR="003F1FBF" w:rsidRPr="00B45C43" w:rsidRDefault="003F1FBF" w:rsidP="003F1F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procedures to challenge regulations</w:t>
            </w:r>
          </w:p>
        </w:tc>
        <w:tc>
          <w:tcPr>
            <w:tcW w:w="1115" w:type="pct"/>
          </w:tcPr>
          <w:p w14:paraId="56097B29" w14:textId="23CCBB61" w:rsidR="003F1FBF" w:rsidRPr="00B45C43" w:rsidRDefault="001B6FB2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Deleted and merged </w:t>
            </w:r>
            <w:r w:rsidR="00DC5725">
              <w:rPr>
                <w:rFonts w:ascii="Arial" w:hAnsi="Arial" w:cs="Arial"/>
                <w:color w:val="4472C4" w:themeColor="accent1"/>
                <w:sz w:val="24"/>
                <w:szCs w:val="24"/>
              </w:rPr>
              <w:t>to X.7</w:t>
            </w:r>
          </w:p>
        </w:tc>
        <w:tc>
          <w:tcPr>
            <w:tcW w:w="1115" w:type="pct"/>
          </w:tcPr>
          <w:p w14:paraId="44C6AD95" w14:textId="2CCFF01E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61DBF06A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45C43" w:rsidRPr="00B45C43" w14:paraId="3852B863" w14:textId="421F1865" w:rsidTr="00CD2A90">
        <w:trPr>
          <w:jc w:val="center"/>
        </w:trPr>
        <w:tc>
          <w:tcPr>
            <w:tcW w:w="236" w:type="pct"/>
          </w:tcPr>
          <w:p w14:paraId="72CDEDB3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X.16</w:t>
            </w:r>
          </w:p>
        </w:tc>
        <w:tc>
          <w:tcPr>
            <w:tcW w:w="735" w:type="pct"/>
          </w:tcPr>
          <w:p w14:paraId="6124DFDD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Regulatory Cooperation</w:t>
            </w:r>
          </w:p>
        </w:tc>
        <w:tc>
          <w:tcPr>
            <w:tcW w:w="1115" w:type="pct"/>
          </w:tcPr>
          <w:p w14:paraId="5EAD1A98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4472C4" w:themeColor="accent1"/>
                <w:sz w:val="24"/>
                <w:szCs w:val="24"/>
              </w:rPr>
              <w:t>improve the alignment of domestic regulation between the Parties</w:t>
            </w:r>
          </w:p>
        </w:tc>
        <w:tc>
          <w:tcPr>
            <w:tcW w:w="1115" w:type="pct"/>
          </w:tcPr>
          <w:p w14:paraId="31E215FB" w14:textId="64A9A6A0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9721314" w14:textId="4724AA64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3DF7BB6D" w14:textId="77777777" w:rsidR="003F1FBF" w:rsidRPr="00B45C43" w:rsidRDefault="003F1FBF" w:rsidP="003F1FB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8620CB" w:rsidRPr="008620CB" w14:paraId="2F33B18B" w14:textId="6C92D4E9" w:rsidTr="00CD2A90">
        <w:trPr>
          <w:jc w:val="center"/>
        </w:trPr>
        <w:tc>
          <w:tcPr>
            <w:tcW w:w="236" w:type="pct"/>
          </w:tcPr>
          <w:p w14:paraId="58788ACD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X.17</w:t>
            </w:r>
          </w:p>
        </w:tc>
        <w:tc>
          <w:tcPr>
            <w:tcW w:w="735" w:type="pct"/>
          </w:tcPr>
          <w:p w14:paraId="2371B656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Committee on Good Regulatory Practices</w:t>
            </w:r>
          </w:p>
        </w:tc>
        <w:tc>
          <w:tcPr>
            <w:tcW w:w="1115" w:type="pct"/>
          </w:tcPr>
          <w:p w14:paraId="5C6CCF3E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Establishes a </w:t>
            </w:r>
            <w:proofErr w:type="gramStart"/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Committee</w:t>
            </w:r>
            <w:proofErr w:type="gramEnd"/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to consider issues related to the implementation of the Chapter and identify future priorities.</w:t>
            </w:r>
          </w:p>
        </w:tc>
        <w:tc>
          <w:tcPr>
            <w:tcW w:w="1115" w:type="pct"/>
          </w:tcPr>
          <w:p w14:paraId="55575ABC" w14:textId="4D15516D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4AB6AF9" w14:textId="4F13FE73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83" w:type="pct"/>
          </w:tcPr>
          <w:p w14:paraId="57FECFAD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8620CB" w:rsidRPr="008620CB" w14:paraId="0A42E3A1" w14:textId="53E08361" w:rsidTr="00CD2A90">
        <w:trPr>
          <w:jc w:val="center"/>
        </w:trPr>
        <w:tc>
          <w:tcPr>
            <w:tcW w:w="236" w:type="pct"/>
          </w:tcPr>
          <w:p w14:paraId="6D2EE83A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lastRenderedPageBreak/>
              <w:t>X.18</w:t>
            </w:r>
          </w:p>
        </w:tc>
        <w:tc>
          <w:tcPr>
            <w:tcW w:w="735" w:type="pct"/>
          </w:tcPr>
          <w:p w14:paraId="3B8FE4E5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Contact Points</w:t>
            </w:r>
          </w:p>
        </w:tc>
        <w:tc>
          <w:tcPr>
            <w:tcW w:w="1115" w:type="pct"/>
          </w:tcPr>
          <w:p w14:paraId="1A4CE75B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a contact point for matters arising under this Chapter</w:t>
            </w:r>
          </w:p>
        </w:tc>
        <w:tc>
          <w:tcPr>
            <w:tcW w:w="1115" w:type="pct"/>
          </w:tcPr>
          <w:p w14:paraId="13545073" w14:textId="36E2928B" w:rsidR="003F1FBF" w:rsidRPr="008620CB" w:rsidRDefault="00056C1D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n/a</w:t>
            </w:r>
          </w:p>
        </w:tc>
        <w:tc>
          <w:tcPr>
            <w:tcW w:w="1115" w:type="pct"/>
          </w:tcPr>
          <w:p w14:paraId="025176B0" w14:textId="0E7FD7E8" w:rsidR="003F1FBF" w:rsidRPr="008620CB" w:rsidRDefault="00056C1D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n/a</w:t>
            </w:r>
          </w:p>
        </w:tc>
        <w:tc>
          <w:tcPr>
            <w:tcW w:w="683" w:type="pct"/>
          </w:tcPr>
          <w:p w14:paraId="671CF38E" w14:textId="587BD85C" w:rsidR="003F1FBF" w:rsidRPr="008620CB" w:rsidRDefault="00664D1D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B45C43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C</w:t>
            </w:r>
            <w:r w:rsidR="00056C1D" w:rsidRPr="00B45C43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oncluded</w:t>
            </w: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 Busan</w:t>
            </w:r>
          </w:p>
        </w:tc>
      </w:tr>
      <w:tr w:rsidR="008620CB" w:rsidRPr="008620CB" w14:paraId="1E81EC35" w14:textId="6CAA7C59" w:rsidTr="00CD2A90">
        <w:trPr>
          <w:jc w:val="center"/>
        </w:trPr>
        <w:tc>
          <w:tcPr>
            <w:tcW w:w="236" w:type="pct"/>
          </w:tcPr>
          <w:p w14:paraId="432358FA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X.19</w:t>
            </w:r>
          </w:p>
        </w:tc>
        <w:tc>
          <w:tcPr>
            <w:tcW w:w="735" w:type="pct"/>
          </w:tcPr>
          <w:p w14:paraId="3E195636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Increasing Participation</w:t>
            </w:r>
          </w:p>
        </w:tc>
        <w:tc>
          <w:tcPr>
            <w:tcW w:w="1115" w:type="pct"/>
          </w:tcPr>
          <w:p w14:paraId="6D0D39A5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provisions for implementation subject to specified conditions being met</w:t>
            </w:r>
          </w:p>
        </w:tc>
        <w:tc>
          <w:tcPr>
            <w:tcW w:w="1115" w:type="pct"/>
          </w:tcPr>
          <w:p w14:paraId="2F695B97" w14:textId="5ECDAC3E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7EB7204" w14:textId="4C9DDA54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83" w:type="pct"/>
          </w:tcPr>
          <w:p w14:paraId="637153EC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8620CB" w:rsidRPr="008620CB" w14:paraId="1912836B" w14:textId="7C2918BC" w:rsidTr="00CD2A90">
        <w:trPr>
          <w:jc w:val="center"/>
        </w:trPr>
        <w:tc>
          <w:tcPr>
            <w:tcW w:w="236" w:type="pct"/>
          </w:tcPr>
          <w:p w14:paraId="794F5E54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X.X</w:t>
            </w:r>
          </w:p>
        </w:tc>
        <w:tc>
          <w:tcPr>
            <w:tcW w:w="735" w:type="pct"/>
          </w:tcPr>
          <w:p w14:paraId="74E2BBBE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Relation to Other Chapters</w:t>
            </w:r>
          </w:p>
        </w:tc>
        <w:tc>
          <w:tcPr>
            <w:tcW w:w="1115" w:type="pct"/>
          </w:tcPr>
          <w:p w14:paraId="39495259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the other Chapter shall prevail to the extent of the inconsistency</w:t>
            </w:r>
          </w:p>
        </w:tc>
        <w:tc>
          <w:tcPr>
            <w:tcW w:w="1115" w:type="pct"/>
          </w:tcPr>
          <w:p w14:paraId="4CE8F094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F624C36" w14:textId="1355BDAA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83" w:type="pct"/>
          </w:tcPr>
          <w:p w14:paraId="4FA6D297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8620CB" w:rsidRPr="008620CB" w14:paraId="01CAA442" w14:textId="0834D1A5" w:rsidTr="00CD2A90">
        <w:trPr>
          <w:jc w:val="center"/>
        </w:trPr>
        <w:tc>
          <w:tcPr>
            <w:tcW w:w="236" w:type="pct"/>
          </w:tcPr>
          <w:p w14:paraId="76486481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X.X</w:t>
            </w:r>
          </w:p>
        </w:tc>
        <w:tc>
          <w:tcPr>
            <w:tcW w:w="735" w:type="pct"/>
          </w:tcPr>
          <w:p w14:paraId="52449163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 xml:space="preserve">Non-Application of Dispute Settlement </w:t>
            </w:r>
          </w:p>
        </w:tc>
        <w:tc>
          <w:tcPr>
            <w:tcW w:w="1115" w:type="pct"/>
          </w:tcPr>
          <w:p w14:paraId="2B8A6BCB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8620CB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No option for resolving disputes for any issue arising in this Chapter is available.</w:t>
            </w:r>
          </w:p>
        </w:tc>
        <w:tc>
          <w:tcPr>
            <w:tcW w:w="1115" w:type="pct"/>
          </w:tcPr>
          <w:p w14:paraId="785602A4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6B03AC0" w14:textId="5B59CEE4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83" w:type="pct"/>
          </w:tcPr>
          <w:p w14:paraId="6D5B4A01" w14:textId="77777777" w:rsidR="003F1FBF" w:rsidRPr="008620CB" w:rsidRDefault="003F1FBF" w:rsidP="003F1FBF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</w:tbl>
    <w:p w14:paraId="470677A1" w14:textId="77777777" w:rsidR="00664CE7" w:rsidRPr="009A5073" w:rsidRDefault="00664CE7">
      <w:pPr>
        <w:rPr>
          <w:rFonts w:ascii="Arial" w:hAnsi="Arial" w:cs="Arial"/>
        </w:rPr>
      </w:pPr>
    </w:p>
    <w:sectPr w:rsidR="00664CE7" w:rsidRPr="009A5073" w:rsidSect="00781D12"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2850" w14:textId="77777777" w:rsidR="002C6642" w:rsidRDefault="002C6642" w:rsidP="009A5073">
      <w:pPr>
        <w:spacing w:after="0" w:line="240" w:lineRule="auto"/>
      </w:pPr>
      <w:r>
        <w:separator/>
      </w:r>
    </w:p>
  </w:endnote>
  <w:endnote w:type="continuationSeparator" w:id="0">
    <w:p w14:paraId="634EC339" w14:textId="77777777" w:rsidR="002C6642" w:rsidRDefault="002C6642" w:rsidP="009A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99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D9B05" w14:textId="77777777" w:rsidR="007358D6" w:rsidRDefault="007358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8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D112C4" w14:textId="77777777" w:rsidR="007358D6" w:rsidRDefault="0073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F268" w14:textId="77777777" w:rsidR="002C6642" w:rsidRDefault="002C6642" w:rsidP="009A5073">
      <w:pPr>
        <w:spacing w:after="0" w:line="240" w:lineRule="auto"/>
      </w:pPr>
      <w:r>
        <w:separator/>
      </w:r>
    </w:p>
  </w:footnote>
  <w:footnote w:type="continuationSeparator" w:id="0">
    <w:p w14:paraId="39FCD61C" w14:textId="77777777" w:rsidR="002C6642" w:rsidRDefault="002C6642" w:rsidP="009A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751"/>
    <w:multiLevelType w:val="hybridMultilevel"/>
    <w:tmpl w:val="9B1E593E"/>
    <w:lvl w:ilvl="0" w:tplc="3FCE3E0C">
      <w:start w:val="1"/>
      <w:numFmt w:val="lowerLetter"/>
      <w:lvlText w:val="(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A8826AE"/>
    <w:multiLevelType w:val="hybridMultilevel"/>
    <w:tmpl w:val="418E730C"/>
    <w:lvl w:ilvl="0" w:tplc="AE3CC6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D8C"/>
    <w:multiLevelType w:val="hybridMultilevel"/>
    <w:tmpl w:val="DFAC77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F34C8"/>
    <w:multiLevelType w:val="hybridMultilevel"/>
    <w:tmpl w:val="4C3870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1F89"/>
    <w:multiLevelType w:val="hybridMultilevel"/>
    <w:tmpl w:val="058E623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423A0"/>
    <w:multiLevelType w:val="hybridMultilevel"/>
    <w:tmpl w:val="C3D8A8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B61EB"/>
    <w:multiLevelType w:val="hybridMultilevel"/>
    <w:tmpl w:val="74A69C0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57F1B"/>
    <w:multiLevelType w:val="hybridMultilevel"/>
    <w:tmpl w:val="2AFEA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94CFD"/>
    <w:multiLevelType w:val="hybridMultilevel"/>
    <w:tmpl w:val="92E83D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03E91"/>
    <w:multiLevelType w:val="hybridMultilevel"/>
    <w:tmpl w:val="07A8F2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20510"/>
    <w:multiLevelType w:val="hybridMultilevel"/>
    <w:tmpl w:val="C7E670F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F1DF1"/>
    <w:multiLevelType w:val="hybridMultilevel"/>
    <w:tmpl w:val="63E49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A3E12"/>
    <w:multiLevelType w:val="hybridMultilevel"/>
    <w:tmpl w:val="49189376"/>
    <w:lvl w:ilvl="0" w:tplc="E6B0703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377E"/>
    <w:multiLevelType w:val="hybridMultilevel"/>
    <w:tmpl w:val="8692EFFE"/>
    <w:lvl w:ilvl="0" w:tplc="846E12B8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6B0C"/>
    <w:multiLevelType w:val="hybridMultilevel"/>
    <w:tmpl w:val="D0585D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D714D"/>
    <w:multiLevelType w:val="hybridMultilevel"/>
    <w:tmpl w:val="E30268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46088"/>
    <w:multiLevelType w:val="hybridMultilevel"/>
    <w:tmpl w:val="257678F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9C2482"/>
    <w:multiLevelType w:val="hybridMultilevel"/>
    <w:tmpl w:val="FE40934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F">
      <w:start w:val="1"/>
      <w:numFmt w:val="decimal"/>
      <w:lvlText w:val="%2."/>
      <w:lvlJc w:val="left"/>
      <w:pPr>
        <w:ind w:left="360" w:hanging="360"/>
      </w:pPr>
    </w:lvl>
    <w:lvl w:ilvl="2" w:tplc="4409001B">
      <w:start w:val="1"/>
      <w:numFmt w:val="lowerRoman"/>
      <w:lvlText w:val="%3."/>
      <w:lvlJc w:val="right"/>
      <w:pPr>
        <w:ind w:left="1800" w:hanging="360"/>
      </w:pPr>
    </w:lvl>
    <w:lvl w:ilvl="3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05614B"/>
    <w:multiLevelType w:val="hybridMultilevel"/>
    <w:tmpl w:val="A584679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F4459"/>
    <w:multiLevelType w:val="hybridMultilevel"/>
    <w:tmpl w:val="A39C02F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B2A24"/>
    <w:multiLevelType w:val="hybridMultilevel"/>
    <w:tmpl w:val="664263FA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75BC4"/>
    <w:multiLevelType w:val="hybridMultilevel"/>
    <w:tmpl w:val="726AC4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6950"/>
    <w:multiLevelType w:val="hybridMultilevel"/>
    <w:tmpl w:val="D032911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412B84"/>
    <w:multiLevelType w:val="hybridMultilevel"/>
    <w:tmpl w:val="A90CDA70"/>
    <w:lvl w:ilvl="0" w:tplc="50B8F6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308FF"/>
    <w:multiLevelType w:val="hybridMultilevel"/>
    <w:tmpl w:val="7C1815D8"/>
    <w:lvl w:ilvl="0" w:tplc="AE3CC6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D2D26"/>
    <w:multiLevelType w:val="hybridMultilevel"/>
    <w:tmpl w:val="80B6243A"/>
    <w:lvl w:ilvl="0" w:tplc="AE3CC6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06746">
    <w:abstractNumId w:val="21"/>
  </w:num>
  <w:num w:numId="2" w16cid:durableId="440879548">
    <w:abstractNumId w:val="15"/>
  </w:num>
  <w:num w:numId="3" w16cid:durableId="831064273">
    <w:abstractNumId w:val="1"/>
  </w:num>
  <w:num w:numId="4" w16cid:durableId="1820075732">
    <w:abstractNumId w:val="9"/>
  </w:num>
  <w:num w:numId="5" w16cid:durableId="1643844504">
    <w:abstractNumId w:val="11"/>
  </w:num>
  <w:num w:numId="6" w16cid:durableId="354039248">
    <w:abstractNumId w:val="20"/>
  </w:num>
  <w:num w:numId="7" w16cid:durableId="1650552591">
    <w:abstractNumId w:val="7"/>
  </w:num>
  <w:num w:numId="8" w16cid:durableId="2102793662">
    <w:abstractNumId w:val="8"/>
  </w:num>
  <w:num w:numId="9" w16cid:durableId="1230962794">
    <w:abstractNumId w:val="19"/>
  </w:num>
  <w:num w:numId="10" w16cid:durableId="496849756">
    <w:abstractNumId w:val="12"/>
  </w:num>
  <w:num w:numId="11" w16cid:durableId="1597591904">
    <w:abstractNumId w:val="14"/>
  </w:num>
  <w:num w:numId="12" w16cid:durableId="1055812931">
    <w:abstractNumId w:val="16"/>
  </w:num>
  <w:num w:numId="13" w16cid:durableId="1622686885">
    <w:abstractNumId w:val="10"/>
  </w:num>
  <w:num w:numId="14" w16cid:durableId="1092551157">
    <w:abstractNumId w:val="2"/>
  </w:num>
  <w:num w:numId="15" w16cid:durableId="1289894381">
    <w:abstractNumId w:val="6"/>
  </w:num>
  <w:num w:numId="16" w16cid:durableId="2140949965">
    <w:abstractNumId w:val="22"/>
  </w:num>
  <w:num w:numId="17" w16cid:durableId="2133787433">
    <w:abstractNumId w:val="4"/>
  </w:num>
  <w:num w:numId="18" w16cid:durableId="1824540856">
    <w:abstractNumId w:val="5"/>
  </w:num>
  <w:num w:numId="19" w16cid:durableId="1847133395">
    <w:abstractNumId w:val="18"/>
  </w:num>
  <w:num w:numId="20" w16cid:durableId="789594766">
    <w:abstractNumId w:val="24"/>
  </w:num>
  <w:num w:numId="21" w16cid:durableId="1731073947">
    <w:abstractNumId w:val="0"/>
  </w:num>
  <w:num w:numId="22" w16cid:durableId="1695837294">
    <w:abstractNumId w:val="3"/>
  </w:num>
  <w:num w:numId="23" w16cid:durableId="1515147477">
    <w:abstractNumId w:val="17"/>
  </w:num>
  <w:num w:numId="24" w16cid:durableId="457071812">
    <w:abstractNumId w:val="13"/>
  </w:num>
  <w:num w:numId="25" w16cid:durableId="1381437987">
    <w:abstractNumId w:val="23"/>
  </w:num>
  <w:num w:numId="26" w16cid:durableId="5441467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73"/>
    <w:rsid w:val="000063BB"/>
    <w:rsid w:val="00012C7D"/>
    <w:rsid w:val="000163AB"/>
    <w:rsid w:val="000204E3"/>
    <w:rsid w:val="00023E69"/>
    <w:rsid w:val="00027176"/>
    <w:rsid w:val="0003217F"/>
    <w:rsid w:val="00034706"/>
    <w:rsid w:val="00053676"/>
    <w:rsid w:val="000555BD"/>
    <w:rsid w:val="00056C1D"/>
    <w:rsid w:val="00063131"/>
    <w:rsid w:val="00085DFC"/>
    <w:rsid w:val="00095FA5"/>
    <w:rsid w:val="000A073D"/>
    <w:rsid w:val="000A7F82"/>
    <w:rsid w:val="000C3E31"/>
    <w:rsid w:val="000C7712"/>
    <w:rsid w:val="000D7C5D"/>
    <w:rsid w:val="000E4FB0"/>
    <w:rsid w:val="00107C6F"/>
    <w:rsid w:val="00135477"/>
    <w:rsid w:val="001532C5"/>
    <w:rsid w:val="00157631"/>
    <w:rsid w:val="001579E4"/>
    <w:rsid w:val="001671D5"/>
    <w:rsid w:val="00170716"/>
    <w:rsid w:val="00186228"/>
    <w:rsid w:val="001A16F2"/>
    <w:rsid w:val="001A1FAF"/>
    <w:rsid w:val="001A5949"/>
    <w:rsid w:val="001B5D6D"/>
    <w:rsid w:val="001B6FB2"/>
    <w:rsid w:val="001C1309"/>
    <w:rsid w:val="001C4FFB"/>
    <w:rsid w:val="001D4D1F"/>
    <w:rsid w:val="001E2CB3"/>
    <w:rsid w:val="001E31CA"/>
    <w:rsid w:val="001E5A9E"/>
    <w:rsid w:val="001E5C9F"/>
    <w:rsid w:val="001F2E5C"/>
    <w:rsid w:val="00205D0B"/>
    <w:rsid w:val="00206770"/>
    <w:rsid w:val="00217ADF"/>
    <w:rsid w:val="00217D1F"/>
    <w:rsid w:val="0022264C"/>
    <w:rsid w:val="00232F6B"/>
    <w:rsid w:val="00246E03"/>
    <w:rsid w:val="00252B86"/>
    <w:rsid w:val="002677F9"/>
    <w:rsid w:val="00270344"/>
    <w:rsid w:val="00282E1A"/>
    <w:rsid w:val="00285D14"/>
    <w:rsid w:val="002A03F6"/>
    <w:rsid w:val="002A7976"/>
    <w:rsid w:val="002B6CB5"/>
    <w:rsid w:val="002C6642"/>
    <w:rsid w:val="002D6EDF"/>
    <w:rsid w:val="002E22AD"/>
    <w:rsid w:val="002F5D10"/>
    <w:rsid w:val="0030623D"/>
    <w:rsid w:val="00307E19"/>
    <w:rsid w:val="00311CF7"/>
    <w:rsid w:val="00316A4A"/>
    <w:rsid w:val="00323174"/>
    <w:rsid w:val="00366F9F"/>
    <w:rsid w:val="0037661B"/>
    <w:rsid w:val="003778FC"/>
    <w:rsid w:val="0038399F"/>
    <w:rsid w:val="003A2493"/>
    <w:rsid w:val="003A28FD"/>
    <w:rsid w:val="003B5EA7"/>
    <w:rsid w:val="003D4AEF"/>
    <w:rsid w:val="003D70B0"/>
    <w:rsid w:val="003E4237"/>
    <w:rsid w:val="003E5E33"/>
    <w:rsid w:val="003F1FBF"/>
    <w:rsid w:val="003F3CD9"/>
    <w:rsid w:val="00404DF2"/>
    <w:rsid w:val="00415E80"/>
    <w:rsid w:val="004442CB"/>
    <w:rsid w:val="004464B7"/>
    <w:rsid w:val="004479CF"/>
    <w:rsid w:val="00447C3B"/>
    <w:rsid w:val="004604DC"/>
    <w:rsid w:val="004728C7"/>
    <w:rsid w:val="0047598A"/>
    <w:rsid w:val="00483E17"/>
    <w:rsid w:val="00487900"/>
    <w:rsid w:val="004A7C12"/>
    <w:rsid w:val="004B6183"/>
    <w:rsid w:val="004E1B1A"/>
    <w:rsid w:val="004E1FCB"/>
    <w:rsid w:val="0050392C"/>
    <w:rsid w:val="0050471C"/>
    <w:rsid w:val="005169E5"/>
    <w:rsid w:val="005229DF"/>
    <w:rsid w:val="00525616"/>
    <w:rsid w:val="00533F2E"/>
    <w:rsid w:val="00542EE7"/>
    <w:rsid w:val="00547E09"/>
    <w:rsid w:val="005560D2"/>
    <w:rsid w:val="00560E12"/>
    <w:rsid w:val="00566BEE"/>
    <w:rsid w:val="00583377"/>
    <w:rsid w:val="005A66C0"/>
    <w:rsid w:val="005B1130"/>
    <w:rsid w:val="005B367D"/>
    <w:rsid w:val="005C534B"/>
    <w:rsid w:val="005C6AB6"/>
    <w:rsid w:val="005D4DFF"/>
    <w:rsid w:val="005F39E0"/>
    <w:rsid w:val="005F7021"/>
    <w:rsid w:val="00614057"/>
    <w:rsid w:val="00653525"/>
    <w:rsid w:val="00661811"/>
    <w:rsid w:val="00664CE7"/>
    <w:rsid w:val="00664D1D"/>
    <w:rsid w:val="006748E4"/>
    <w:rsid w:val="006802F6"/>
    <w:rsid w:val="006A1725"/>
    <w:rsid w:val="006C66C8"/>
    <w:rsid w:val="006C7AB2"/>
    <w:rsid w:val="006D70F2"/>
    <w:rsid w:val="006D7B98"/>
    <w:rsid w:val="006E6102"/>
    <w:rsid w:val="00714C11"/>
    <w:rsid w:val="007257F8"/>
    <w:rsid w:val="00731998"/>
    <w:rsid w:val="0073370C"/>
    <w:rsid w:val="00733984"/>
    <w:rsid w:val="007358D6"/>
    <w:rsid w:val="0075589C"/>
    <w:rsid w:val="00760FCD"/>
    <w:rsid w:val="00781D12"/>
    <w:rsid w:val="00785F99"/>
    <w:rsid w:val="007959B2"/>
    <w:rsid w:val="007B0332"/>
    <w:rsid w:val="007B474D"/>
    <w:rsid w:val="007B5190"/>
    <w:rsid w:val="007C6F1E"/>
    <w:rsid w:val="007D5AB2"/>
    <w:rsid w:val="007E73E0"/>
    <w:rsid w:val="007E78BD"/>
    <w:rsid w:val="007F68BE"/>
    <w:rsid w:val="00810780"/>
    <w:rsid w:val="008403D4"/>
    <w:rsid w:val="00854592"/>
    <w:rsid w:val="008558F8"/>
    <w:rsid w:val="0086130C"/>
    <w:rsid w:val="008620CB"/>
    <w:rsid w:val="0086531A"/>
    <w:rsid w:val="00872F13"/>
    <w:rsid w:val="00882798"/>
    <w:rsid w:val="00886130"/>
    <w:rsid w:val="008944E2"/>
    <w:rsid w:val="00896B30"/>
    <w:rsid w:val="0089775A"/>
    <w:rsid w:val="008D496A"/>
    <w:rsid w:val="008E3189"/>
    <w:rsid w:val="008E7DBA"/>
    <w:rsid w:val="008F4D00"/>
    <w:rsid w:val="008F783F"/>
    <w:rsid w:val="00905913"/>
    <w:rsid w:val="00917519"/>
    <w:rsid w:val="00923F3E"/>
    <w:rsid w:val="0094528F"/>
    <w:rsid w:val="00945474"/>
    <w:rsid w:val="00947B78"/>
    <w:rsid w:val="00947CA6"/>
    <w:rsid w:val="00960EF4"/>
    <w:rsid w:val="00977435"/>
    <w:rsid w:val="009A4F43"/>
    <w:rsid w:val="009A5073"/>
    <w:rsid w:val="009D1A1A"/>
    <w:rsid w:val="009E2EAE"/>
    <w:rsid w:val="009E3307"/>
    <w:rsid w:val="009F0F78"/>
    <w:rsid w:val="00A00FA4"/>
    <w:rsid w:val="00A01238"/>
    <w:rsid w:val="00A01B62"/>
    <w:rsid w:val="00A2652A"/>
    <w:rsid w:val="00A61E70"/>
    <w:rsid w:val="00A75B88"/>
    <w:rsid w:val="00A80448"/>
    <w:rsid w:val="00A8303D"/>
    <w:rsid w:val="00A865C5"/>
    <w:rsid w:val="00A87DF7"/>
    <w:rsid w:val="00AA7062"/>
    <w:rsid w:val="00AD730B"/>
    <w:rsid w:val="00AE1520"/>
    <w:rsid w:val="00AE1C42"/>
    <w:rsid w:val="00AE2093"/>
    <w:rsid w:val="00AE3D19"/>
    <w:rsid w:val="00AF510E"/>
    <w:rsid w:val="00B1131E"/>
    <w:rsid w:val="00B14B6B"/>
    <w:rsid w:val="00B21E12"/>
    <w:rsid w:val="00B43247"/>
    <w:rsid w:val="00B45C43"/>
    <w:rsid w:val="00B5064C"/>
    <w:rsid w:val="00B53BF5"/>
    <w:rsid w:val="00B57945"/>
    <w:rsid w:val="00B66A81"/>
    <w:rsid w:val="00B67410"/>
    <w:rsid w:val="00B71B87"/>
    <w:rsid w:val="00B86009"/>
    <w:rsid w:val="00B86332"/>
    <w:rsid w:val="00B87E21"/>
    <w:rsid w:val="00B94F63"/>
    <w:rsid w:val="00BB3BE1"/>
    <w:rsid w:val="00BC1852"/>
    <w:rsid w:val="00BD580C"/>
    <w:rsid w:val="00BE4A30"/>
    <w:rsid w:val="00BF1776"/>
    <w:rsid w:val="00C02AF2"/>
    <w:rsid w:val="00C21E9F"/>
    <w:rsid w:val="00C24371"/>
    <w:rsid w:val="00C507FE"/>
    <w:rsid w:val="00C5261F"/>
    <w:rsid w:val="00C64091"/>
    <w:rsid w:val="00C70744"/>
    <w:rsid w:val="00C71A54"/>
    <w:rsid w:val="00C8398B"/>
    <w:rsid w:val="00C90A5E"/>
    <w:rsid w:val="00C921FB"/>
    <w:rsid w:val="00CB13B8"/>
    <w:rsid w:val="00CC0DCE"/>
    <w:rsid w:val="00CD2A90"/>
    <w:rsid w:val="00CE3D82"/>
    <w:rsid w:val="00CE63FA"/>
    <w:rsid w:val="00D013A2"/>
    <w:rsid w:val="00D22F64"/>
    <w:rsid w:val="00D43482"/>
    <w:rsid w:val="00D449A7"/>
    <w:rsid w:val="00D46062"/>
    <w:rsid w:val="00D46C6D"/>
    <w:rsid w:val="00D613BF"/>
    <w:rsid w:val="00D70F14"/>
    <w:rsid w:val="00D71F4E"/>
    <w:rsid w:val="00D74C58"/>
    <w:rsid w:val="00D82436"/>
    <w:rsid w:val="00D86143"/>
    <w:rsid w:val="00D86B2A"/>
    <w:rsid w:val="00DA5968"/>
    <w:rsid w:val="00DA7481"/>
    <w:rsid w:val="00DB0F6F"/>
    <w:rsid w:val="00DC5725"/>
    <w:rsid w:val="00DD1B64"/>
    <w:rsid w:val="00DD6234"/>
    <w:rsid w:val="00E12C37"/>
    <w:rsid w:val="00E162D6"/>
    <w:rsid w:val="00E32FE7"/>
    <w:rsid w:val="00E50C21"/>
    <w:rsid w:val="00E544F2"/>
    <w:rsid w:val="00E65627"/>
    <w:rsid w:val="00E674E9"/>
    <w:rsid w:val="00E733E3"/>
    <w:rsid w:val="00EA48A4"/>
    <w:rsid w:val="00EB0656"/>
    <w:rsid w:val="00EC6C2E"/>
    <w:rsid w:val="00ED10A0"/>
    <w:rsid w:val="00ED173D"/>
    <w:rsid w:val="00ED62FF"/>
    <w:rsid w:val="00EE69CA"/>
    <w:rsid w:val="00EE7B39"/>
    <w:rsid w:val="00EF6D23"/>
    <w:rsid w:val="00F07E56"/>
    <w:rsid w:val="00F256AF"/>
    <w:rsid w:val="00F472BC"/>
    <w:rsid w:val="00F51647"/>
    <w:rsid w:val="00F525EF"/>
    <w:rsid w:val="00F52F7A"/>
    <w:rsid w:val="00F5338D"/>
    <w:rsid w:val="00F55392"/>
    <w:rsid w:val="00F557B3"/>
    <w:rsid w:val="00F56285"/>
    <w:rsid w:val="00F5772B"/>
    <w:rsid w:val="00F65A0E"/>
    <w:rsid w:val="00F67941"/>
    <w:rsid w:val="00F75284"/>
    <w:rsid w:val="00F80E31"/>
    <w:rsid w:val="00F91A2A"/>
    <w:rsid w:val="00F9270C"/>
    <w:rsid w:val="00F9417C"/>
    <w:rsid w:val="00FC1C6B"/>
    <w:rsid w:val="00FC1F05"/>
    <w:rsid w:val="00FC5A2C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0814"/>
  <w15:chartTrackingRefBased/>
  <w15:docId w15:val="{58E18265-C1A1-48D4-BE70-CC79E983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ticle Heading"/>
    <w:next w:val="Normal"/>
    <w:link w:val="Heading1Char"/>
    <w:uiPriority w:val="9"/>
    <w:unhideWhenUsed/>
    <w:qFormat/>
    <w:rsid w:val="00B94F63"/>
    <w:pPr>
      <w:keepNext/>
      <w:keepLines/>
      <w:spacing w:after="24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1,List Paragraph12,List Paragraph2,OBC Bullet,L,Fiche List Paragraph,2,3"/>
    <w:basedOn w:val="Normal"/>
    <w:link w:val="ListParagraphChar"/>
    <w:uiPriority w:val="34"/>
    <w:qFormat/>
    <w:rsid w:val="009A5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73"/>
  </w:style>
  <w:style w:type="paragraph" w:styleId="Footer">
    <w:name w:val="footer"/>
    <w:basedOn w:val="Normal"/>
    <w:link w:val="FooterChar"/>
    <w:uiPriority w:val="99"/>
    <w:unhideWhenUsed/>
    <w:rsid w:val="009A5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73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1 Char,L Char"/>
    <w:link w:val="ListParagraph"/>
    <w:uiPriority w:val="34"/>
    <w:qFormat/>
    <w:locked/>
    <w:rsid w:val="00EB0656"/>
  </w:style>
  <w:style w:type="character" w:styleId="CommentReference">
    <w:name w:val="annotation reference"/>
    <w:basedOn w:val="DefaultParagraphFont"/>
    <w:uiPriority w:val="99"/>
    <w:semiHidden/>
    <w:unhideWhenUsed/>
    <w:rsid w:val="00795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9B2"/>
    <w:pPr>
      <w:spacing w:after="0" w:line="240" w:lineRule="auto"/>
    </w:pPr>
    <w:rPr>
      <w:rFonts w:ascii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9B2"/>
    <w:rPr>
      <w:rFonts w:ascii="Calibri" w:hAnsi="Calibri" w:cs="Calibr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B2"/>
    <w:rPr>
      <w:rFonts w:ascii="Segoe UI" w:hAnsi="Segoe UI" w:cs="Segoe UI"/>
      <w:sz w:val="18"/>
      <w:szCs w:val="18"/>
    </w:rPr>
  </w:style>
  <w:style w:type="paragraph" w:customStyle="1" w:styleId="Normal4">
    <w:name w:val="Normal4"/>
    <w:basedOn w:val="Normal"/>
    <w:link w:val="Normal4Char"/>
    <w:qFormat/>
    <w:rsid w:val="000D7C5D"/>
    <w:pPr>
      <w:spacing w:after="24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character" w:customStyle="1" w:styleId="Normal4Char">
    <w:name w:val="Normal4 Char"/>
    <w:basedOn w:val="DefaultParagraphFont"/>
    <w:link w:val="Normal4"/>
    <w:rsid w:val="000D7C5D"/>
    <w:rPr>
      <w:rFonts w:ascii="Times New Roman" w:eastAsiaTheme="minorEastAsia" w:hAnsi="Times New Roman"/>
      <w:sz w:val="24"/>
      <w:lang w:val="en-US"/>
    </w:rPr>
  </w:style>
  <w:style w:type="character" w:customStyle="1" w:styleId="Heading1Char">
    <w:name w:val="Heading 1 Char"/>
    <w:aliases w:val="Article Heading Char"/>
    <w:basedOn w:val="DefaultParagraphFont"/>
    <w:link w:val="Heading1"/>
    <w:uiPriority w:val="9"/>
    <w:rsid w:val="00B94F63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1738-1553-4253-8770-C791B4A5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Wadrina Wan Abdul Wahab</dc:creator>
  <cp:keywords/>
  <dc:description/>
  <cp:lastModifiedBy>Mohd Zulkifly Che Mohd Rawawi</cp:lastModifiedBy>
  <cp:revision>12</cp:revision>
  <dcterms:created xsi:type="dcterms:W3CDTF">2023-09-15T16:35:00Z</dcterms:created>
  <dcterms:modified xsi:type="dcterms:W3CDTF">2023-10-10T07:10:00Z</dcterms:modified>
</cp:coreProperties>
</file>