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0EEA21AA"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F70F323" w:rsidR="001635BA" w:rsidRPr="006C5E8D" w:rsidRDefault="001F7FF8" w:rsidP="00D92C0E">
            <w:pPr>
              <w:spacing w:before="120" w:after="120" w:line="276" w:lineRule="auto"/>
              <w:jc w:val="both"/>
              <w:rPr>
                <w:bCs/>
                <w:sz w:val="22"/>
                <w:szCs w:val="22"/>
                <w:lang w:val="ms-MY"/>
              </w:rPr>
            </w:pPr>
            <w:r w:rsidRPr="00E73DF1">
              <w:rPr>
                <w:bCs/>
                <w:sz w:val="22"/>
                <w:szCs w:val="22"/>
              </w:rPr>
              <w:t xml:space="preserve">The Publication of </w:t>
            </w:r>
            <w:r w:rsidR="007B7ADD">
              <w:rPr>
                <w:bCs/>
                <w:sz w:val="22"/>
                <w:szCs w:val="22"/>
              </w:rPr>
              <w:t>National</w:t>
            </w:r>
            <w:r w:rsidRPr="00E73DF1">
              <w:rPr>
                <w:bCs/>
                <w:sz w:val="22"/>
                <w:szCs w:val="22"/>
              </w:rPr>
              <w:t xml:space="preserve"> Behavioural Insights (BI) Guideline</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0F44806F" w:rsidR="001635BA" w:rsidRPr="00DF3A1E" w:rsidRDefault="00C03FF1" w:rsidP="00DF3A1E">
            <w:pPr>
              <w:jc w:val="both"/>
              <w:rPr>
                <w:sz w:val="22"/>
                <w:szCs w:val="22"/>
                <w:lang w:val="ms-MY"/>
              </w:rPr>
            </w:pPr>
            <w:r>
              <w:rPr>
                <w:bCs/>
                <w:sz w:val="22"/>
                <w:szCs w:val="22"/>
              </w:rPr>
              <w:t xml:space="preserve">July </w:t>
            </w:r>
            <w:r w:rsidR="00060347">
              <w:rPr>
                <w:bCs/>
                <w:sz w:val="22"/>
                <w:szCs w:val="22"/>
              </w:rPr>
              <w:t>202</w:t>
            </w:r>
            <w:r>
              <w:rPr>
                <w:bCs/>
                <w:sz w:val="22"/>
                <w:szCs w:val="22"/>
              </w:rPr>
              <w:t>3</w:t>
            </w:r>
            <w:r w:rsidR="00060347">
              <w:rPr>
                <w:bCs/>
                <w:sz w:val="22"/>
                <w:szCs w:val="22"/>
              </w:rPr>
              <w:t xml:space="preserve"> - </w:t>
            </w:r>
            <w:r w:rsidR="005A49C3">
              <w:rPr>
                <w:bCs/>
                <w:sz w:val="22"/>
                <w:szCs w:val="22"/>
              </w:rPr>
              <w:t xml:space="preserve">December </w:t>
            </w:r>
            <w:r w:rsidR="001F7FF8">
              <w:rPr>
                <w:bCs/>
                <w:sz w:val="22"/>
                <w:szCs w:val="22"/>
              </w:rPr>
              <w:t>202</w:t>
            </w:r>
            <w:r w:rsidR="0006074D">
              <w:rPr>
                <w:bCs/>
                <w:sz w:val="22"/>
                <w:szCs w:val="22"/>
              </w:rPr>
              <w:t>3</w:t>
            </w:r>
          </w:p>
        </w:tc>
      </w:tr>
      <w:tr w:rsidR="001635BA" w:rsidRPr="00EA0172" w14:paraId="2CDCE1EB" w14:textId="77777777" w:rsidTr="00F024C9">
        <w:trPr>
          <w:trHeight w:val="3136"/>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998ADC2" w14:textId="39F82DAC" w:rsidR="00232962" w:rsidRPr="00232962" w:rsidRDefault="00232962" w:rsidP="00232962">
            <w:pPr>
              <w:spacing w:line="276" w:lineRule="auto"/>
              <w:ind w:right="116"/>
              <w:jc w:val="both"/>
              <w:rPr>
                <w:bCs/>
                <w:sz w:val="22"/>
                <w:szCs w:val="22"/>
                <w:lang w:val="sv-SE"/>
              </w:rPr>
            </w:pPr>
            <w:r w:rsidRPr="00232962">
              <w:rPr>
                <w:bCs/>
                <w:sz w:val="22"/>
                <w:szCs w:val="22"/>
                <w:lang w:val="sv-SE"/>
              </w:rPr>
              <w:t xml:space="preserve">The objectives of the </w:t>
            </w:r>
            <w:r w:rsidR="007B7ADD">
              <w:rPr>
                <w:bCs/>
                <w:sz w:val="22"/>
                <w:szCs w:val="22"/>
                <w:lang w:val="sv-SE"/>
              </w:rPr>
              <w:t xml:space="preserve">National </w:t>
            </w:r>
            <w:r w:rsidRPr="00232962">
              <w:rPr>
                <w:bCs/>
                <w:sz w:val="22"/>
                <w:szCs w:val="22"/>
                <w:lang w:val="sv-SE"/>
              </w:rPr>
              <w:t>BI Guideline are:</w:t>
            </w:r>
          </w:p>
          <w:p w14:paraId="014EBDC1" w14:textId="77777777" w:rsidR="00232962" w:rsidRPr="00232962" w:rsidRDefault="00232962" w:rsidP="00232962">
            <w:pPr>
              <w:pStyle w:val="ListParagraph"/>
              <w:numPr>
                <w:ilvl w:val="0"/>
                <w:numId w:val="6"/>
              </w:numPr>
              <w:spacing w:line="276" w:lineRule="auto"/>
              <w:ind w:right="116"/>
              <w:jc w:val="both"/>
              <w:rPr>
                <w:bCs/>
                <w:sz w:val="22"/>
                <w:szCs w:val="22"/>
                <w:lang w:val="sv-SE"/>
              </w:rPr>
            </w:pPr>
            <w:r w:rsidRPr="00232962">
              <w:rPr>
                <w:bCs/>
                <w:sz w:val="22"/>
                <w:szCs w:val="22"/>
                <w:lang w:val="sv-SE"/>
              </w:rPr>
              <w:t>To serve as a guide in applying behavioural insights to public policy from the beginning to the end of the policy cycle;</w:t>
            </w:r>
          </w:p>
          <w:p w14:paraId="44D23329" w14:textId="77777777" w:rsidR="00232962" w:rsidRPr="00232962" w:rsidRDefault="00232962" w:rsidP="00232962">
            <w:pPr>
              <w:pStyle w:val="ListParagraph"/>
              <w:numPr>
                <w:ilvl w:val="0"/>
                <w:numId w:val="6"/>
              </w:numPr>
              <w:spacing w:line="276" w:lineRule="auto"/>
              <w:ind w:right="116"/>
              <w:jc w:val="both"/>
              <w:rPr>
                <w:bCs/>
                <w:sz w:val="22"/>
                <w:szCs w:val="22"/>
                <w:lang w:val="sv-SE"/>
              </w:rPr>
            </w:pPr>
            <w:r w:rsidRPr="00232962">
              <w:rPr>
                <w:bCs/>
                <w:sz w:val="22"/>
                <w:szCs w:val="22"/>
                <w:lang w:val="sv-SE"/>
              </w:rPr>
              <w:t>To serve as a repository of best practices, proof of concepts and methodological standards for behavioural insights practitioners and policymakers; and</w:t>
            </w:r>
          </w:p>
          <w:p w14:paraId="31DE0119" w14:textId="4F017F84" w:rsidR="00BA7368" w:rsidRPr="00DF3A1E" w:rsidRDefault="00232962" w:rsidP="00232962">
            <w:pPr>
              <w:pStyle w:val="ListParagraph"/>
              <w:numPr>
                <w:ilvl w:val="0"/>
                <w:numId w:val="6"/>
              </w:numPr>
              <w:jc w:val="both"/>
              <w:rPr>
                <w:sz w:val="22"/>
                <w:szCs w:val="22"/>
                <w:lang w:val="ms-MY"/>
              </w:rPr>
            </w:pPr>
            <w:r w:rsidRPr="00232962">
              <w:rPr>
                <w:bCs/>
                <w:sz w:val="22"/>
                <w:szCs w:val="22"/>
                <w:lang w:val="sv-SE"/>
              </w:rPr>
              <w:t>To provide general principles for the ethical application of BI and guidelines where ethical concerns might be raised for specific issues.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20B7B145" w14:textId="3C6DB9F3" w:rsidR="00B6226E" w:rsidRPr="00FD638E" w:rsidRDefault="00232962" w:rsidP="00FD638E">
            <w:pPr>
              <w:widowControl w:val="0"/>
              <w:autoSpaceDE w:val="0"/>
              <w:autoSpaceDN w:val="0"/>
              <w:ind w:right="5"/>
              <w:jc w:val="both"/>
              <w:rPr>
                <w:rFonts w:eastAsiaTheme="minorHAnsi"/>
                <w:color w:val="000000"/>
                <w:sz w:val="22"/>
                <w:szCs w:val="22"/>
                <w:lang w:val="en-MY"/>
              </w:rPr>
            </w:pPr>
            <w:r w:rsidRPr="00FD638E">
              <w:rPr>
                <w:rFonts w:eastAsiaTheme="minorHAnsi"/>
                <w:color w:val="000000"/>
                <w:sz w:val="22"/>
                <w:szCs w:val="22"/>
                <w:lang w:val="en-MY"/>
              </w:rPr>
              <w:t>MPC has been mandated by the government to undertake BI programs and initiatives for Malaysia year 2020 onwards. Publishing a BI Guideline that best suits the nation’s culture that includes individual, environment, and social factors especially in every stage of the policy cycle is essential in order to provide better quality and more effective regulations</w:t>
            </w:r>
            <w:r w:rsidR="00736EED">
              <w:rPr>
                <w:rFonts w:eastAsiaTheme="minorHAnsi"/>
                <w:color w:val="000000"/>
                <w:sz w:val="22"/>
                <w:szCs w:val="22"/>
                <w:lang w:val="en-MY"/>
              </w:rPr>
              <w:t>.</w:t>
            </w:r>
            <w:r w:rsidR="004C0E14">
              <w:rPr>
                <w:rFonts w:eastAsiaTheme="minorHAnsi"/>
                <w:color w:val="000000"/>
                <w:sz w:val="22"/>
                <w:szCs w:val="22"/>
                <w:lang w:val="en-MY"/>
              </w:rPr>
              <w:t xml:space="preserve"> The </w:t>
            </w:r>
            <w:r w:rsidR="007B7ADD">
              <w:rPr>
                <w:rFonts w:eastAsiaTheme="minorHAnsi"/>
                <w:color w:val="000000"/>
                <w:sz w:val="22"/>
                <w:szCs w:val="22"/>
                <w:lang w:val="en-MY"/>
              </w:rPr>
              <w:t xml:space="preserve">National </w:t>
            </w:r>
            <w:r w:rsidR="004C0E14">
              <w:rPr>
                <w:rFonts w:eastAsiaTheme="minorHAnsi"/>
                <w:color w:val="000000"/>
                <w:sz w:val="22"/>
                <w:szCs w:val="22"/>
                <w:lang w:val="en-MY"/>
              </w:rPr>
              <w:t xml:space="preserve">BI Guideline </w:t>
            </w:r>
            <w:r w:rsidR="00137342">
              <w:rPr>
                <w:rFonts w:eastAsiaTheme="minorHAnsi"/>
                <w:color w:val="000000"/>
                <w:sz w:val="22"/>
                <w:szCs w:val="22"/>
                <w:lang w:val="en-MY"/>
              </w:rPr>
              <w:t xml:space="preserve">published in Bahasa Malaysia will serve greater purpose to its readers and practitioners. </w:t>
            </w:r>
          </w:p>
          <w:p w14:paraId="29B5CEA5" w14:textId="330C7086" w:rsidR="001427C7" w:rsidRPr="00232962" w:rsidRDefault="001427C7" w:rsidP="00232962">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9C63B7E" w14:textId="5044C2CB"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assess Malaysia’s current design and implementation of public policy;</w:t>
            </w:r>
          </w:p>
          <w:p w14:paraId="54E53ED8" w14:textId="5B12CF64"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conduct research of existing behavioural theories, methodologies, public policy issues and challenges; and</w:t>
            </w:r>
          </w:p>
          <w:p w14:paraId="278AC313" w14:textId="4184BCFA"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establish a BI Guideline that includes designing solutions to ensure that policies reflect real needs and behaviours for greater impact and effectiveness.</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309AD34C" w14:textId="1004D2DB" w:rsidR="00FD638E" w:rsidRPr="004C0E14" w:rsidRDefault="00232962" w:rsidP="004C0E14">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EB5F3C" w14:textId="61F9DA5D" w:rsidR="001F27B3" w:rsidRDefault="00CC3990" w:rsidP="001F27B3">
            <w:pPr>
              <w:pStyle w:val="ListParagraph"/>
              <w:numPr>
                <w:ilvl w:val="0"/>
                <w:numId w:val="33"/>
              </w:numPr>
              <w:autoSpaceDE w:val="0"/>
              <w:autoSpaceDN w:val="0"/>
              <w:adjustRightInd w:val="0"/>
              <w:spacing w:line="276" w:lineRule="auto"/>
              <w:jc w:val="both"/>
              <w:rPr>
                <w:sz w:val="22"/>
                <w:szCs w:val="22"/>
                <w:lang w:val="ms-MY"/>
              </w:rPr>
            </w:pPr>
            <w:r w:rsidRPr="00F54969">
              <w:rPr>
                <w:sz w:val="22"/>
                <w:szCs w:val="22"/>
                <w:lang w:val="ms-MY"/>
              </w:rPr>
              <w:t>Integrated BI Guideline to be used at national level.</w:t>
            </w:r>
          </w:p>
          <w:p w14:paraId="7A15954A" w14:textId="211D1A2C" w:rsidR="009C4479" w:rsidRDefault="00AB140F" w:rsidP="001F27B3">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Application of the National BI Guideline in case studies.</w:t>
            </w:r>
          </w:p>
          <w:p w14:paraId="3D4D92E6" w14:textId="367606B0" w:rsidR="00A261A1" w:rsidRPr="001F27B3" w:rsidRDefault="001F27B3" w:rsidP="001F27B3">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Well-informed regulators on matters relating to BI on designing public policy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7AB326D8" w14:textId="043E473C" w:rsidR="00DB29E4" w:rsidRDefault="00EA3CB1" w:rsidP="00C7513B">
            <w:pPr>
              <w:pStyle w:val="ListParagraph"/>
              <w:numPr>
                <w:ilvl w:val="0"/>
                <w:numId w:val="34"/>
              </w:numPr>
              <w:jc w:val="both"/>
              <w:rPr>
                <w:sz w:val="22"/>
                <w:szCs w:val="22"/>
                <w:lang w:val="ms-MY"/>
              </w:rPr>
            </w:pPr>
            <w:r w:rsidRPr="001F27B3">
              <w:rPr>
                <w:sz w:val="22"/>
                <w:szCs w:val="22"/>
                <w:lang w:val="ms-MY"/>
              </w:rPr>
              <w:t xml:space="preserve">1 </w:t>
            </w:r>
            <w:r w:rsidR="00AB140F">
              <w:rPr>
                <w:sz w:val="22"/>
                <w:szCs w:val="22"/>
                <w:lang w:val="ms-MY"/>
              </w:rPr>
              <w:t xml:space="preserve">National </w:t>
            </w:r>
            <w:r w:rsidRPr="001F27B3">
              <w:rPr>
                <w:sz w:val="22"/>
                <w:szCs w:val="22"/>
                <w:lang w:val="ms-MY"/>
              </w:rPr>
              <w:t>BI Guideline for Ministries</w:t>
            </w:r>
            <w:r w:rsidR="00EE4C27">
              <w:rPr>
                <w:sz w:val="22"/>
                <w:szCs w:val="22"/>
                <w:lang w:val="ms-MY"/>
              </w:rPr>
              <w:t xml:space="preserve"> </w:t>
            </w:r>
          </w:p>
          <w:p w14:paraId="56A5AB41" w14:textId="3B81B96C" w:rsidR="00F024C9" w:rsidRDefault="00EE4C27" w:rsidP="00DB29E4">
            <w:pPr>
              <w:pStyle w:val="ListParagraph"/>
              <w:jc w:val="both"/>
              <w:rPr>
                <w:sz w:val="22"/>
                <w:szCs w:val="22"/>
                <w:lang w:val="ms-MY"/>
              </w:rPr>
            </w:pPr>
            <w:r>
              <w:rPr>
                <w:sz w:val="22"/>
                <w:szCs w:val="22"/>
                <w:lang w:val="ms-MY"/>
              </w:rPr>
              <w:t xml:space="preserve">(Transalation </w:t>
            </w:r>
            <w:r w:rsidR="008313DA">
              <w:rPr>
                <w:sz w:val="22"/>
                <w:szCs w:val="22"/>
                <w:lang w:val="ms-MY"/>
              </w:rPr>
              <w:t>to Bahasa Malaysia)</w:t>
            </w:r>
          </w:p>
          <w:p w14:paraId="5729E026" w14:textId="77777777" w:rsidR="00775030" w:rsidRDefault="00ED131F" w:rsidP="00C7513B">
            <w:pPr>
              <w:pStyle w:val="ListParagraph"/>
              <w:numPr>
                <w:ilvl w:val="0"/>
                <w:numId w:val="34"/>
              </w:numPr>
              <w:jc w:val="both"/>
              <w:rPr>
                <w:sz w:val="22"/>
                <w:szCs w:val="22"/>
                <w:lang w:val="ms-MY"/>
              </w:rPr>
            </w:pPr>
            <w:r>
              <w:rPr>
                <w:sz w:val="22"/>
                <w:szCs w:val="22"/>
                <w:lang w:val="ms-MY"/>
              </w:rPr>
              <w:t>15 Advisory meetings</w:t>
            </w:r>
          </w:p>
          <w:p w14:paraId="0AE77246" w14:textId="08D25456" w:rsidR="00ED131F" w:rsidRPr="00C7513B" w:rsidRDefault="00C734F0" w:rsidP="00C7513B">
            <w:pPr>
              <w:pStyle w:val="ListParagraph"/>
              <w:numPr>
                <w:ilvl w:val="0"/>
                <w:numId w:val="34"/>
              </w:numPr>
              <w:jc w:val="both"/>
              <w:rPr>
                <w:sz w:val="22"/>
                <w:szCs w:val="22"/>
                <w:lang w:val="ms-MY"/>
              </w:rPr>
            </w:pPr>
            <w:r>
              <w:rPr>
                <w:sz w:val="22"/>
                <w:szCs w:val="22"/>
                <w:lang w:val="ms-MY"/>
              </w:rPr>
              <w:t>8 Engagement sessions with ministeries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30F8FE56" w14:textId="3ED4C2B5" w:rsidR="001635BA" w:rsidRPr="004C0E14" w:rsidRDefault="00D33BB0" w:rsidP="004C0E14">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441815AA" w:rsidR="004A3E34" w:rsidRDefault="0066761C" w:rsidP="006969F7">
            <w:pPr>
              <w:spacing w:before="120" w:line="276" w:lineRule="auto"/>
              <w:jc w:val="both"/>
              <w:rPr>
                <w:sz w:val="22"/>
                <w:szCs w:val="22"/>
                <w:lang w:val="ms-MY"/>
              </w:rPr>
            </w:pPr>
            <w:r w:rsidRPr="0066761C">
              <w:rPr>
                <w:sz w:val="22"/>
                <w:szCs w:val="22"/>
                <w:lang w:val="ms-MY"/>
              </w:rPr>
              <w:t>RM</w:t>
            </w:r>
            <w:r w:rsidR="00DA68A4">
              <w:rPr>
                <w:sz w:val="22"/>
                <w:szCs w:val="22"/>
                <w:lang w:val="ms-MY"/>
              </w:rPr>
              <w:t>7</w:t>
            </w:r>
            <w:r w:rsidR="00255A4C">
              <w:rPr>
                <w:sz w:val="22"/>
                <w:szCs w:val="22"/>
                <w:lang w:val="ms-MY"/>
              </w:rPr>
              <w:t>6,</w:t>
            </w:r>
            <w:r w:rsidR="008313DA">
              <w:rPr>
                <w:sz w:val="22"/>
                <w:szCs w:val="22"/>
                <w:lang w:val="ms-MY"/>
              </w:rPr>
              <w:t>000.00</w:t>
            </w:r>
            <w:r w:rsidRPr="0066761C">
              <w:rPr>
                <w:sz w:val="22"/>
                <w:szCs w:val="22"/>
                <w:lang w:val="ms-MY"/>
              </w:rPr>
              <w:t xml:space="preserve"> </w:t>
            </w:r>
          </w:p>
          <w:p w14:paraId="1F5E9578" w14:textId="77777777" w:rsidR="00F31BB2" w:rsidRDefault="0066761C" w:rsidP="006969F7">
            <w:pPr>
              <w:spacing w:before="120"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r w:rsidR="003423EC">
              <w:rPr>
                <w:sz w:val="22"/>
                <w:szCs w:val="22"/>
                <w:lang w:val="ms-MY"/>
              </w:rPr>
              <w:t>)</w:t>
            </w:r>
          </w:p>
          <w:p w14:paraId="742337CD" w14:textId="4AD8E096" w:rsidR="003423EC" w:rsidRPr="0066761C" w:rsidRDefault="001F27B3" w:rsidP="006969F7">
            <w:pPr>
              <w:spacing w:before="120" w:line="276" w:lineRule="auto"/>
              <w:jc w:val="both"/>
              <w:rPr>
                <w:sz w:val="22"/>
                <w:szCs w:val="22"/>
                <w:lang w:val="ms-MY"/>
              </w:rPr>
            </w:pPr>
            <w:r>
              <w:rPr>
                <w:sz w:val="22"/>
                <w:szCs w:val="22"/>
                <w:lang w:val="ms-MY"/>
              </w:rPr>
              <w:t xml:space="preserve">(As in </w:t>
            </w:r>
            <w:r w:rsidR="003423EC">
              <w:rPr>
                <w:sz w:val="22"/>
                <w:szCs w:val="22"/>
                <w:lang w:val="ms-MY"/>
              </w:rPr>
              <w:t>Appendix</w:t>
            </w:r>
            <w:r>
              <w:rPr>
                <w:sz w:val="22"/>
                <w:szCs w:val="22"/>
                <w:lang w:val="ms-MY"/>
              </w:rPr>
              <w:t>)</w:t>
            </w:r>
            <w:r w:rsidR="003423EC">
              <w:rPr>
                <w:sz w:val="22"/>
                <w:szCs w:val="22"/>
                <w:lang w:val="ms-MY"/>
              </w:rPr>
              <w:t xml:space="preserve"> </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94FC38E" w:rsidR="001635BA" w:rsidRPr="00830EA7" w:rsidRDefault="00FB315D" w:rsidP="00830EA7">
            <w:pPr>
              <w:spacing w:before="120" w:after="120"/>
              <w:jc w:val="both"/>
              <w:rPr>
                <w:sz w:val="22"/>
                <w:szCs w:val="22"/>
                <w:lang w:val="ms-MY"/>
              </w:rPr>
            </w:pPr>
            <w:r w:rsidRPr="00D33BB0">
              <w:rPr>
                <w:sz w:val="22"/>
                <w:szCs w:val="22"/>
                <w:lang w:val="ms-MY"/>
              </w:rPr>
              <w:t>Apply for BOM approval for the development of the Behavioral Insights Guidelines</w:t>
            </w:r>
            <w:r w:rsidR="00564B68">
              <w:rPr>
                <w:sz w:val="22"/>
                <w:szCs w:val="22"/>
                <w:lang w:val="ms-MY"/>
              </w:rPr>
              <w:t xml:space="preserve"> for year 2023</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049F7905" w:rsidR="00584848" w:rsidRDefault="00584848" w:rsidP="008C7CBE">
      <w:pPr>
        <w:spacing w:line="276" w:lineRule="auto"/>
        <w:rPr>
          <w:sz w:val="22"/>
          <w:szCs w:val="22"/>
        </w:rPr>
      </w:pPr>
    </w:p>
    <w:p w14:paraId="74F271F4" w14:textId="7E3B1613" w:rsidR="00584848" w:rsidRPr="005E2649" w:rsidRDefault="003423EC" w:rsidP="008C7CBE">
      <w:pPr>
        <w:spacing w:line="276" w:lineRule="auto"/>
        <w:rPr>
          <w:b/>
          <w:bCs/>
          <w:sz w:val="22"/>
          <w:szCs w:val="22"/>
        </w:rPr>
      </w:pPr>
      <w:r w:rsidRPr="005E2649">
        <w:rPr>
          <w:b/>
          <w:bCs/>
          <w:sz w:val="22"/>
          <w:szCs w:val="22"/>
        </w:rPr>
        <w:t xml:space="preserve">Project </w:t>
      </w:r>
      <w:r w:rsidR="00313B5F" w:rsidRPr="005E2649">
        <w:rPr>
          <w:b/>
          <w:bCs/>
          <w:sz w:val="22"/>
          <w:szCs w:val="22"/>
        </w:rPr>
        <w:t>Phase</w:t>
      </w:r>
    </w:p>
    <w:p w14:paraId="696A26F7" w14:textId="00410B3B" w:rsidR="003423EC" w:rsidRDefault="003423EC" w:rsidP="008C7CBE">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6812"/>
      </w:tblGrid>
      <w:tr w:rsidR="003423EC" w:rsidRPr="00313B5F" w14:paraId="6123D734" w14:textId="77777777" w:rsidTr="006969F7">
        <w:trPr>
          <w:trHeight w:val="432"/>
        </w:trPr>
        <w:tc>
          <w:tcPr>
            <w:tcW w:w="1222" w:type="pct"/>
            <w:shd w:val="clear" w:color="auto" w:fill="ACB9CA" w:themeFill="text2" w:themeFillTint="66"/>
            <w:vAlign w:val="center"/>
            <w:hideMark/>
          </w:tcPr>
          <w:p w14:paraId="5493EF5D" w14:textId="77777777" w:rsidR="003423EC" w:rsidRPr="00313B5F" w:rsidRDefault="003423EC" w:rsidP="00C94F71">
            <w:pPr>
              <w:jc w:val="center"/>
              <w:rPr>
                <w:b/>
                <w:bCs/>
                <w:color w:val="000000"/>
                <w:sz w:val="22"/>
                <w:szCs w:val="22"/>
                <w:lang w:val="en-MY" w:eastAsia="en-MY"/>
              </w:rPr>
            </w:pPr>
            <w:r w:rsidRPr="00313B5F">
              <w:rPr>
                <w:b/>
                <w:bCs/>
                <w:color w:val="000000"/>
                <w:sz w:val="22"/>
                <w:szCs w:val="22"/>
                <w:lang w:val="en-MY" w:eastAsia="en-MY"/>
              </w:rPr>
              <w:t>PHASE</w:t>
            </w:r>
          </w:p>
        </w:tc>
        <w:tc>
          <w:tcPr>
            <w:tcW w:w="3778" w:type="pct"/>
            <w:shd w:val="clear" w:color="auto" w:fill="ACB9CA" w:themeFill="text2" w:themeFillTint="66"/>
            <w:vAlign w:val="center"/>
            <w:hideMark/>
          </w:tcPr>
          <w:p w14:paraId="4A52AF81" w14:textId="77777777" w:rsidR="003423EC" w:rsidRPr="00313B5F" w:rsidRDefault="003423EC" w:rsidP="00C94F71">
            <w:pPr>
              <w:jc w:val="center"/>
              <w:rPr>
                <w:b/>
                <w:bCs/>
                <w:color w:val="000000"/>
                <w:sz w:val="22"/>
                <w:szCs w:val="22"/>
                <w:lang w:val="en-MY" w:eastAsia="en-MY"/>
              </w:rPr>
            </w:pPr>
            <w:r w:rsidRPr="00313B5F">
              <w:rPr>
                <w:b/>
                <w:bCs/>
                <w:color w:val="000000"/>
                <w:sz w:val="22"/>
                <w:szCs w:val="22"/>
                <w:lang w:val="en-MY" w:eastAsia="en-MY"/>
              </w:rPr>
              <w:t>ACTIVITY</w:t>
            </w:r>
          </w:p>
        </w:tc>
      </w:tr>
      <w:tr w:rsidR="003423EC" w:rsidRPr="00313B5F" w14:paraId="3046518E" w14:textId="77777777" w:rsidTr="00D0294F">
        <w:trPr>
          <w:trHeight w:val="789"/>
        </w:trPr>
        <w:tc>
          <w:tcPr>
            <w:tcW w:w="1222" w:type="pct"/>
            <w:shd w:val="clear" w:color="auto" w:fill="auto"/>
            <w:vAlign w:val="center"/>
            <w:hideMark/>
          </w:tcPr>
          <w:p w14:paraId="2B263DD3" w14:textId="1D95C00F"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Development</w:t>
            </w:r>
            <w:r w:rsidR="00B325B0">
              <w:rPr>
                <w:b/>
                <w:bCs/>
                <w:color w:val="000000"/>
                <w:sz w:val="22"/>
                <w:szCs w:val="22"/>
                <w:lang w:val="en-MY" w:eastAsia="en-MY"/>
              </w:rPr>
              <w:t xml:space="preserve"> </w:t>
            </w:r>
          </w:p>
        </w:tc>
        <w:tc>
          <w:tcPr>
            <w:tcW w:w="3778" w:type="pct"/>
            <w:shd w:val="clear" w:color="auto" w:fill="auto"/>
            <w:vAlign w:val="center"/>
            <w:hideMark/>
          </w:tcPr>
          <w:p w14:paraId="751E8E4F" w14:textId="65D6D240" w:rsidR="003423EC" w:rsidRPr="00313B5F" w:rsidRDefault="003423EC" w:rsidP="00C94F71">
            <w:pPr>
              <w:rPr>
                <w:color w:val="000000"/>
                <w:sz w:val="22"/>
                <w:szCs w:val="22"/>
                <w:lang w:val="en-MY" w:eastAsia="en-MY"/>
              </w:rPr>
            </w:pPr>
            <w:r w:rsidRPr="00313B5F">
              <w:rPr>
                <w:color w:val="000000"/>
                <w:sz w:val="22"/>
                <w:szCs w:val="22"/>
                <w:lang w:val="en-MY" w:eastAsia="en-MY"/>
              </w:rPr>
              <w:t>Development of BI Guideline tailored specifically for the ministries</w:t>
            </w:r>
            <w:r w:rsidR="00B325B0">
              <w:rPr>
                <w:color w:val="000000"/>
                <w:sz w:val="22"/>
                <w:szCs w:val="22"/>
                <w:lang w:val="en-MY" w:eastAsia="en-MY"/>
              </w:rPr>
              <w:t xml:space="preserve"> and </w:t>
            </w:r>
            <w:r w:rsidR="00B325B0" w:rsidRPr="00B325B0">
              <w:rPr>
                <w:color w:val="000000"/>
                <w:sz w:val="22"/>
                <w:szCs w:val="22"/>
                <w:lang w:val="en-MY" w:eastAsia="en-MY"/>
              </w:rPr>
              <w:t>monitor</w:t>
            </w:r>
            <w:r w:rsidR="00B325B0">
              <w:rPr>
                <w:color w:val="000000"/>
                <w:sz w:val="22"/>
                <w:szCs w:val="22"/>
                <w:lang w:val="en-MY" w:eastAsia="en-MY"/>
              </w:rPr>
              <w:t>ing</w:t>
            </w:r>
            <w:r w:rsidR="00B325B0" w:rsidRPr="00B325B0">
              <w:rPr>
                <w:color w:val="000000"/>
                <w:sz w:val="22"/>
                <w:szCs w:val="22"/>
                <w:lang w:val="en-MY" w:eastAsia="en-MY"/>
              </w:rPr>
              <w:t xml:space="preserve"> </w:t>
            </w:r>
            <w:r w:rsidR="00B325B0">
              <w:rPr>
                <w:color w:val="000000"/>
                <w:sz w:val="22"/>
                <w:szCs w:val="22"/>
                <w:lang w:val="en-MY" w:eastAsia="en-MY"/>
              </w:rPr>
              <w:t>of intervention projects</w:t>
            </w:r>
            <w:r w:rsidR="00470F99">
              <w:rPr>
                <w:color w:val="000000"/>
                <w:sz w:val="22"/>
                <w:szCs w:val="22"/>
                <w:lang w:val="en-MY" w:eastAsia="en-MY"/>
              </w:rPr>
              <w:t xml:space="preserve"> in </w:t>
            </w:r>
            <w:r w:rsidR="00F61FFE">
              <w:rPr>
                <w:color w:val="000000"/>
                <w:sz w:val="22"/>
                <w:szCs w:val="22"/>
                <w:lang w:val="en-MY" w:eastAsia="en-MY"/>
              </w:rPr>
              <w:t>(Translation to Bahasa Malaysia)</w:t>
            </w:r>
          </w:p>
        </w:tc>
      </w:tr>
      <w:tr w:rsidR="003423EC" w:rsidRPr="00313B5F" w14:paraId="760BC718" w14:textId="77777777" w:rsidTr="00D0294F">
        <w:trPr>
          <w:trHeight w:val="789"/>
        </w:trPr>
        <w:tc>
          <w:tcPr>
            <w:tcW w:w="1222" w:type="pct"/>
            <w:shd w:val="clear" w:color="auto" w:fill="auto"/>
            <w:vAlign w:val="center"/>
            <w:hideMark/>
          </w:tcPr>
          <w:p w14:paraId="6EA258BB" w14:textId="6B3A3FAB"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Advisory</w:t>
            </w:r>
          </w:p>
          <w:p w14:paraId="6532DF57" w14:textId="77777777" w:rsidR="003423EC" w:rsidRPr="00313B5F" w:rsidRDefault="003423EC" w:rsidP="00C94F71">
            <w:pPr>
              <w:jc w:val="center"/>
              <w:rPr>
                <w:b/>
                <w:bCs/>
                <w:color w:val="000000"/>
                <w:sz w:val="22"/>
                <w:szCs w:val="22"/>
                <w:lang w:val="en-MY" w:eastAsia="en-MY"/>
              </w:rPr>
            </w:pPr>
          </w:p>
        </w:tc>
        <w:tc>
          <w:tcPr>
            <w:tcW w:w="3778" w:type="pct"/>
            <w:shd w:val="clear" w:color="auto" w:fill="auto"/>
            <w:vAlign w:val="center"/>
            <w:hideMark/>
          </w:tcPr>
          <w:p w14:paraId="6BAEEB8A" w14:textId="4D475DA1" w:rsidR="003423EC" w:rsidRPr="00313B5F" w:rsidRDefault="003423EC" w:rsidP="003423EC">
            <w:pPr>
              <w:pStyle w:val="ListParagraph"/>
              <w:numPr>
                <w:ilvl w:val="0"/>
                <w:numId w:val="31"/>
              </w:numPr>
              <w:contextualSpacing w:val="0"/>
              <w:rPr>
                <w:color w:val="000000"/>
                <w:sz w:val="22"/>
                <w:szCs w:val="22"/>
                <w:lang w:val="en-MY" w:eastAsia="en-MY"/>
              </w:rPr>
            </w:pPr>
            <w:r w:rsidRPr="00313B5F">
              <w:rPr>
                <w:color w:val="000000"/>
                <w:sz w:val="22"/>
                <w:szCs w:val="22"/>
                <w:lang w:val="en-MY" w:eastAsia="en-MY"/>
              </w:rPr>
              <w:t xml:space="preserve">Projects identified in </w:t>
            </w:r>
            <w:r w:rsidR="00C50919" w:rsidRPr="00313B5F">
              <w:rPr>
                <w:color w:val="000000"/>
                <w:sz w:val="22"/>
                <w:szCs w:val="22"/>
                <w:lang w:val="en-MY" w:eastAsia="en-MY"/>
              </w:rPr>
              <w:t>Ministries.</w:t>
            </w:r>
          </w:p>
          <w:p w14:paraId="308EEC4B" w14:textId="45DFBE88" w:rsidR="003423EC" w:rsidRPr="00313B5F" w:rsidRDefault="003423EC" w:rsidP="003423EC">
            <w:pPr>
              <w:pStyle w:val="ListParagraph"/>
              <w:numPr>
                <w:ilvl w:val="0"/>
                <w:numId w:val="31"/>
              </w:numPr>
              <w:contextualSpacing w:val="0"/>
              <w:rPr>
                <w:color w:val="000000"/>
                <w:sz w:val="22"/>
                <w:szCs w:val="22"/>
                <w:lang w:val="en-MY" w:eastAsia="en-MY"/>
              </w:rPr>
            </w:pPr>
            <w:r w:rsidRPr="00313B5F">
              <w:rPr>
                <w:color w:val="000000"/>
                <w:sz w:val="22"/>
                <w:szCs w:val="22"/>
                <w:lang w:val="en-MY" w:eastAsia="en-MY"/>
              </w:rPr>
              <w:t>Training to ministries as a preparation before embarking on the projects</w:t>
            </w:r>
            <w:r w:rsidR="00C50919">
              <w:rPr>
                <w:color w:val="000000"/>
                <w:sz w:val="22"/>
                <w:szCs w:val="22"/>
                <w:lang w:val="en-MY" w:eastAsia="en-MY"/>
              </w:rPr>
              <w:t>.</w:t>
            </w:r>
          </w:p>
        </w:tc>
      </w:tr>
      <w:tr w:rsidR="003423EC" w:rsidRPr="00313B5F" w14:paraId="77AFB666" w14:textId="77777777" w:rsidTr="00D0294F">
        <w:trPr>
          <w:trHeight w:val="558"/>
        </w:trPr>
        <w:tc>
          <w:tcPr>
            <w:tcW w:w="1222" w:type="pct"/>
            <w:shd w:val="clear" w:color="auto" w:fill="auto"/>
            <w:vAlign w:val="center"/>
            <w:hideMark/>
          </w:tcPr>
          <w:p w14:paraId="3F5C58CB" w14:textId="54F9B348"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Coordination</w:t>
            </w:r>
          </w:p>
        </w:tc>
        <w:tc>
          <w:tcPr>
            <w:tcW w:w="3778" w:type="pct"/>
            <w:shd w:val="clear" w:color="auto" w:fill="auto"/>
            <w:vAlign w:val="center"/>
            <w:hideMark/>
          </w:tcPr>
          <w:p w14:paraId="54C72A54" w14:textId="339D4777" w:rsidR="00AB003A" w:rsidRPr="00313B5F" w:rsidRDefault="003423EC" w:rsidP="00C94F71">
            <w:pPr>
              <w:pStyle w:val="Default"/>
              <w:rPr>
                <w:sz w:val="22"/>
                <w:szCs w:val="22"/>
              </w:rPr>
            </w:pPr>
            <w:r w:rsidRPr="00313B5F">
              <w:rPr>
                <w:sz w:val="22"/>
                <w:szCs w:val="22"/>
              </w:rPr>
              <w:t xml:space="preserve">Embark on projects with selected </w:t>
            </w:r>
            <w:r w:rsidR="009D04C2">
              <w:rPr>
                <w:sz w:val="22"/>
                <w:szCs w:val="22"/>
              </w:rPr>
              <w:t>stakeholders</w:t>
            </w:r>
            <w:r w:rsidR="00C50919">
              <w:rPr>
                <w:sz w:val="22"/>
                <w:szCs w:val="22"/>
              </w:rPr>
              <w:t>.</w:t>
            </w:r>
          </w:p>
        </w:tc>
      </w:tr>
    </w:tbl>
    <w:p w14:paraId="73F98160" w14:textId="77777777" w:rsidR="00255A4C" w:rsidRDefault="00255A4C" w:rsidP="008C7CBE">
      <w:pPr>
        <w:spacing w:line="276" w:lineRule="auto"/>
        <w:rPr>
          <w:b/>
          <w:bCs/>
        </w:rPr>
      </w:pPr>
    </w:p>
    <w:p w14:paraId="04798C3B" w14:textId="77777777" w:rsidR="00255A4C" w:rsidRDefault="00255A4C" w:rsidP="008C7CBE">
      <w:pPr>
        <w:spacing w:line="276" w:lineRule="auto"/>
        <w:rPr>
          <w:b/>
          <w:bCs/>
        </w:rPr>
      </w:pPr>
    </w:p>
    <w:p w14:paraId="39AFABBD" w14:textId="460559A6" w:rsidR="001B15AC" w:rsidRPr="005E2649" w:rsidRDefault="001B15AC" w:rsidP="008C7CBE">
      <w:pPr>
        <w:spacing w:line="276" w:lineRule="auto"/>
        <w:rPr>
          <w:b/>
          <w:bCs/>
        </w:rPr>
      </w:pPr>
      <w:r w:rsidRPr="005E2649">
        <w:rPr>
          <w:b/>
          <w:bCs/>
        </w:rPr>
        <w:lastRenderedPageBreak/>
        <w:t xml:space="preserve">Estimated Cost </w:t>
      </w:r>
    </w:p>
    <w:p w14:paraId="3553137B" w14:textId="5A34413A" w:rsidR="001B15AC" w:rsidRDefault="001B15AC" w:rsidP="008C7CBE">
      <w:pPr>
        <w:spacing w:line="276" w:lineRule="auto"/>
      </w:pPr>
    </w:p>
    <w:tbl>
      <w:tblPr>
        <w:tblStyle w:val="TableGrid"/>
        <w:tblW w:w="0" w:type="auto"/>
        <w:tblLook w:val="04A0" w:firstRow="1" w:lastRow="0" w:firstColumn="1" w:lastColumn="0" w:noHBand="0" w:noVBand="1"/>
      </w:tblPr>
      <w:tblGrid>
        <w:gridCol w:w="694"/>
        <w:gridCol w:w="1598"/>
        <w:gridCol w:w="3178"/>
        <w:gridCol w:w="1780"/>
        <w:gridCol w:w="1766"/>
      </w:tblGrid>
      <w:tr w:rsidR="0064016C" w:rsidRPr="00255A4C" w14:paraId="334F1629" w14:textId="77777777" w:rsidTr="001F44FF">
        <w:tc>
          <w:tcPr>
            <w:tcW w:w="694" w:type="dxa"/>
            <w:shd w:val="clear" w:color="auto" w:fill="D9E2F3" w:themeFill="accent1" w:themeFillTint="33"/>
          </w:tcPr>
          <w:p w14:paraId="042C6BEB" w14:textId="616050F6" w:rsidR="00B04EBC" w:rsidRPr="00255A4C" w:rsidRDefault="00B04EBC" w:rsidP="008C7CBE">
            <w:pPr>
              <w:spacing w:line="276" w:lineRule="auto"/>
              <w:rPr>
                <w:b/>
                <w:bCs/>
                <w:sz w:val="20"/>
                <w:szCs w:val="20"/>
              </w:rPr>
            </w:pPr>
            <w:r w:rsidRPr="00255A4C">
              <w:rPr>
                <w:b/>
                <w:bCs/>
                <w:sz w:val="20"/>
                <w:szCs w:val="20"/>
              </w:rPr>
              <w:t>NO</w:t>
            </w:r>
          </w:p>
        </w:tc>
        <w:tc>
          <w:tcPr>
            <w:tcW w:w="1598" w:type="dxa"/>
            <w:shd w:val="clear" w:color="auto" w:fill="D9E2F3" w:themeFill="accent1" w:themeFillTint="33"/>
          </w:tcPr>
          <w:p w14:paraId="3734DBFB" w14:textId="249DCE11" w:rsidR="00B04EBC" w:rsidRPr="00255A4C" w:rsidRDefault="00B04EBC" w:rsidP="008C7CBE">
            <w:pPr>
              <w:spacing w:line="276" w:lineRule="auto"/>
              <w:rPr>
                <w:b/>
                <w:bCs/>
                <w:sz w:val="20"/>
                <w:szCs w:val="20"/>
              </w:rPr>
            </w:pPr>
            <w:r w:rsidRPr="00255A4C">
              <w:rPr>
                <w:b/>
                <w:bCs/>
                <w:sz w:val="20"/>
                <w:szCs w:val="20"/>
              </w:rPr>
              <w:t>PHASE</w:t>
            </w:r>
          </w:p>
        </w:tc>
        <w:tc>
          <w:tcPr>
            <w:tcW w:w="3178" w:type="dxa"/>
            <w:shd w:val="clear" w:color="auto" w:fill="D9E2F3" w:themeFill="accent1" w:themeFillTint="33"/>
          </w:tcPr>
          <w:p w14:paraId="01E7FC36" w14:textId="3D0967FE" w:rsidR="00B04EBC" w:rsidRPr="00255A4C" w:rsidRDefault="00B04EBC" w:rsidP="008C7CBE">
            <w:pPr>
              <w:spacing w:line="276" w:lineRule="auto"/>
              <w:rPr>
                <w:b/>
                <w:bCs/>
                <w:sz w:val="20"/>
                <w:szCs w:val="20"/>
              </w:rPr>
            </w:pPr>
            <w:r w:rsidRPr="00255A4C">
              <w:rPr>
                <w:b/>
                <w:bCs/>
                <w:sz w:val="20"/>
                <w:szCs w:val="20"/>
              </w:rPr>
              <w:t>ITEM</w:t>
            </w:r>
          </w:p>
        </w:tc>
        <w:tc>
          <w:tcPr>
            <w:tcW w:w="1780" w:type="dxa"/>
            <w:shd w:val="clear" w:color="auto" w:fill="D9E2F3" w:themeFill="accent1" w:themeFillTint="33"/>
          </w:tcPr>
          <w:p w14:paraId="3BC356CB" w14:textId="3F56B1FC" w:rsidR="00B04EBC" w:rsidRPr="00255A4C" w:rsidRDefault="00B04EBC" w:rsidP="008C7CBE">
            <w:pPr>
              <w:spacing w:line="276" w:lineRule="auto"/>
              <w:rPr>
                <w:b/>
                <w:bCs/>
                <w:sz w:val="20"/>
                <w:szCs w:val="20"/>
              </w:rPr>
            </w:pPr>
            <w:r w:rsidRPr="00255A4C">
              <w:rPr>
                <w:b/>
                <w:bCs/>
                <w:sz w:val="20"/>
                <w:szCs w:val="20"/>
              </w:rPr>
              <w:t>ESTIMATED</w:t>
            </w:r>
            <w:r w:rsidR="00656DEF" w:rsidRPr="00255A4C">
              <w:rPr>
                <w:b/>
                <w:bCs/>
                <w:sz w:val="20"/>
                <w:szCs w:val="20"/>
              </w:rPr>
              <w:t xml:space="preserve"> COST (RM)</w:t>
            </w:r>
          </w:p>
        </w:tc>
        <w:tc>
          <w:tcPr>
            <w:tcW w:w="1766" w:type="dxa"/>
            <w:shd w:val="clear" w:color="auto" w:fill="D9E2F3" w:themeFill="accent1" w:themeFillTint="33"/>
          </w:tcPr>
          <w:p w14:paraId="4FE585E9" w14:textId="633E3D41" w:rsidR="00B04EBC" w:rsidRPr="00255A4C" w:rsidRDefault="00656DEF" w:rsidP="008C7CBE">
            <w:pPr>
              <w:spacing w:line="276" w:lineRule="auto"/>
              <w:rPr>
                <w:b/>
                <w:bCs/>
                <w:sz w:val="20"/>
                <w:szCs w:val="20"/>
              </w:rPr>
            </w:pPr>
            <w:r w:rsidRPr="00255A4C">
              <w:rPr>
                <w:b/>
                <w:bCs/>
                <w:sz w:val="20"/>
                <w:szCs w:val="20"/>
              </w:rPr>
              <w:t>TOTAL (RM)</w:t>
            </w:r>
          </w:p>
        </w:tc>
      </w:tr>
      <w:tr w:rsidR="001F44FF" w:rsidRPr="00255A4C" w14:paraId="43C04327" w14:textId="77777777" w:rsidTr="001F44FF">
        <w:tc>
          <w:tcPr>
            <w:tcW w:w="694" w:type="dxa"/>
          </w:tcPr>
          <w:p w14:paraId="7C11E68D" w14:textId="5CE4C962" w:rsidR="00B04EBC" w:rsidRPr="00255A4C" w:rsidRDefault="0024408D" w:rsidP="008C7CBE">
            <w:pPr>
              <w:spacing w:line="276" w:lineRule="auto"/>
              <w:rPr>
                <w:sz w:val="20"/>
                <w:szCs w:val="20"/>
              </w:rPr>
            </w:pPr>
            <w:r w:rsidRPr="00255A4C">
              <w:rPr>
                <w:sz w:val="20"/>
                <w:szCs w:val="20"/>
              </w:rPr>
              <w:t xml:space="preserve">1. </w:t>
            </w:r>
          </w:p>
        </w:tc>
        <w:tc>
          <w:tcPr>
            <w:tcW w:w="1598" w:type="dxa"/>
          </w:tcPr>
          <w:p w14:paraId="55C6B040" w14:textId="2BCDF659" w:rsidR="00B04EBC" w:rsidRPr="00255A4C" w:rsidRDefault="00656DEF" w:rsidP="008C7CBE">
            <w:pPr>
              <w:spacing w:line="276" w:lineRule="auto"/>
              <w:rPr>
                <w:sz w:val="20"/>
                <w:szCs w:val="20"/>
              </w:rPr>
            </w:pPr>
            <w:r w:rsidRPr="00255A4C">
              <w:rPr>
                <w:color w:val="000000"/>
                <w:sz w:val="20"/>
                <w:szCs w:val="20"/>
                <w:lang w:val="en-MY" w:eastAsia="en-MY"/>
              </w:rPr>
              <w:t>Development</w:t>
            </w:r>
          </w:p>
        </w:tc>
        <w:tc>
          <w:tcPr>
            <w:tcW w:w="3178" w:type="dxa"/>
          </w:tcPr>
          <w:p w14:paraId="174E3728" w14:textId="5250727E" w:rsidR="00656DEF" w:rsidRPr="00255A4C" w:rsidRDefault="00656DEF" w:rsidP="008C7CBE">
            <w:pPr>
              <w:spacing w:line="276" w:lineRule="auto"/>
              <w:rPr>
                <w:sz w:val="20"/>
                <w:szCs w:val="20"/>
              </w:rPr>
            </w:pPr>
            <w:r w:rsidRPr="00255A4C">
              <w:rPr>
                <w:sz w:val="20"/>
                <w:szCs w:val="20"/>
              </w:rPr>
              <w:t xml:space="preserve">Digital Publication </w:t>
            </w:r>
            <w:r w:rsidR="00CC1E58" w:rsidRPr="00255A4C">
              <w:rPr>
                <w:sz w:val="20"/>
                <w:szCs w:val="20"/>
              </w:rPr>
              <w:t>BI Guidel</w:t>
            </w:r>
            <w:r w:rsidR="00EB4E1D" w:rsidRPr="00255A4C">
              <w:rPr>
                <w:sz w:val="20"/>
                <w:szCs w:val="20"/>
              </w:rPr>
              <w:t>ine</w:t>
            </w:r>
          </w:p>
          <w:p w14:paraId="426458FF" w14:textId="49B3F1C0" w:rsidR="00B04EBC" w:rsidRPr="00255A4C" w:rsidRDefault="00656DEF" w:rsidP="008C7CBE">
            <w:pPr>
              <w:spacing w:line="276" w:lineRule="auto"/>
              <w:rPr>
                <w:sz w:val="20"/>
                <w:szCs w:val="20"/>
              </w:rPr>
            </w:pPr>
            <w:r w:rsidRPr="00255A4C">
              <w:rPr>
                <w:sz w:val="20"/>
                <w:szCs w:val="20"/>
              </w:rPr>
              <w:t>(Translation works)</w:t>
            </w:r>
          </w:p>
        </w:tc>
        <w:tc>
          <w:tcPr>
            <w:tcW w:w="1780" w:type="dxa"/>
          </w:tcPr>
          <w:p w14:paraId="1EB70EFF" w14:textId="57F3E08D" w:rsidR="00B04EBC" w:rsidRPr="00255A4C" w:rsidRDefault="0024408D" w:rsidP="00D453E7">
            <w:pPr>
              <w:spacing w:line="276" w:lineRule="auto"/>
              <w:jc w:val="right"/>
              <w:rPr>
                <w:sz w:val="20"/>
                <w:szCs w:val="20"/>
              </w:rPr>
            </w:pPr>
            <w:r w:rsidRPr="00255A4C">
              <w:rPr>
                <w:sz w:val="20"/>
                <w:szCs w:val="20"/>
              </w:rPr>
              <w:t>20,000</w:t>
            </w:r>
            <w:r w:rsidR="0064016C" w:rsidRPr="00255A4C">
              <w:rPr>
                <w:sz w:val="20"/>
                <w:szCs w:val="20"/>
              </w:rPr>
              <w:t>.00</w:t>
            </w:r>
          </w:p>
        </w:tc>
        <w:tc>
          <w:tcPr>
            <w:tcW w:w="1766" w:type="dxa"/>
          </w:tcPr>
          <w:p w14:paraId="6FC716BD" w14:textId="1DC4E8C0" w:rsidR="00B04EBC" w:rsidRPr="00255A4C" w:rsidRDefault="002472A8" w:rsidP="00D453E7">
            <w:pPr>
              <w:spacing w:line="276" w:lineRule="auto"/>
              <w:jc w:val="right"/>
              <w:rPr>
                <w:sz w:val="20"/>
                <w:szCs w:val="20"/>
              </w:rPr>
            </w:pPr>
            <w:r w:rsidRPr="00255A4C">
              <w:rPr>
                <w:sz w:val="20"/>
                <w:szCs w:val="20"/>
              </w:rPr>
              <w:t>20,000.00</w:t>
            </w:r>
          </w:p>
        </w:tc>
      </w:tr>
      <w:tr w:rsidR="001F44FF" w:rsidRPr="00255A4C" w14:paraId="0220750A" w14:textId="77777777" w:rsidTr="001F44FF">
        <w:tc>
          <w:tcPr>
            <w:tcW w:w="694" w:type="dxa"/>
          </w:tcPr>
          <w:p w14:paraId="6CF6659B" w14:textId="6BFF94F6" w:rsidR="00B04EBC" w:rsidRPr="00255A4C" w:rsidRDefault="002472A8" w:rsidP="008C7CBE">
            <w:pPr>
              <w:spacing w:line="276" w:lineRule="auto"/>
              <w:rPr>
                <w:sz w:val="20"/>
                <w:szCs w:val="20"/>
              </w:rPr>
            </w:pPr>
            <w:r w:rsidRPr="00255A4C">
              <w:rPr>
                <w:sz w:val="20"/>
                <w:szCs w:val="20"/>
              </w:rPr>
              <w:t xml:space="preserve">2. </w:t>
            </w:r>
          </w:p>
        </w:tc>
        <w:tc>
          <w:tcPr>
            <w:tcW w:w="1598" w:type="dxa"/>
          </w:tcPr>
          <w:p w14:paraId="43A4D269" w14:textId="4E334CFB" w:rsidR="00B04EBC" w:rsidRPr="00255A4C" w:rsidRDefault="00D820F0" w:rsidP="008C7CBE">
            <w:pPr>
              <w:spacing w:line="276" w:lineRule="auto"/>
              <w:rPr>
                <w:sz w:val="20"/>
                <w:szCs w:val="20"/>
              </w:rPr>
            </w:pPr>
            <w:r w:rsidRPr="00255A4C">
              <w:rPr>
                <w:color w:val="000000"/>
                <w:sz w:val="20"/>
                <w:szCs w:val="20"/>
                <w:lang w:val="en-MY" w:eastAsia="en-MY"/>
              </w:rPr>
              <w:t>Ad</w:t>
            </w:r>
            <w:r w:rsidR="003F3461" w:rsidRPr="00255A4C">
              <w:rPr>
                <w:color w:val="000000"/>
                <w:sz w:val="20"/>
                <w:szCs w:val="20"/>
                <w:lang w:val="en-MY" w:eastAsia="en-MY"/>
              </w:rPr>
              <w:t>visory</w:t>
            </w:r>
          </w:p>
        </w:tc>
        <w:tc>
          <w:tcPr>
            <w:tcW w:w="3178" w:type="dxa"/>
          </w:tcPr>
          <w:p w14:paraId="71A02E88" w14:textId="725AF278" w:rsidR="00B04EBC" w:rsidRPr="00255A4C" w:rsidRDefault="003F3461" w:rsidP="00920EB9">
            <w:pPr>
              <w:rPr>
                <w:color w:val="000000"/>
                <w:sz w:val="20"/>
                <w:szCs w:val="20"/>
                <w:lang w:val="en-MY" w:eastAsia="en-MY"/>
              </w:rPr>
            </w:pPr>
            <w:r w:rsidRPr="00255A4C">
              <w:rPr>
                <w:color w:val="000000"/>
                <w:sz w:val="20"/>
                <w:szCs w:val="20"/>
                <w:lang w:val="en-MY" w:eastAsia="en-MY"/>
              </w:rPr>
              <w:t xml:space="preserve">Hiring </w:t>
            </w:r>
            <w:r w:rsidR="00920EB9" w:rsidRPr="00255A4C">
              <w:rPr>
                <w:color w:val="000000"/>
                <w:sz w:val="20"/>
                <w:szCs w:val="20"/>
                <w:lang w:val="en-MY" w:eastAsia="en-MY"/>
              </w:rPr>
              <w:t>of</w:t>
            </w:r>
            <w:r w:rsidRPr="00255A4C">
              <w:rPr>
                <w:color w:val="000000"/>
                <w:sz w:val="20"/>
                <w:szCs w:val="20"/>
                <w:lang w:val="en-MY" w:eastAsia="en-MY"/>
              </w:rPr>
              <w:t xml:space="preserve"> </w:t>
            </w:r>
            <w:r w:rsidR="00D820F0" w:rsidRPr="00255A4C">
              <w:rPr>
                <w:color w:val="000000"/>
                <w:sz w:val="20"/>
                <w:szCs w:val="20"/>
                <w:lang w:val="en-MY" w:eastAsia="en-MY"/>
              </w:rPr>
              <w:t>to</w:t>
            </w:r>
            <w:r w:rsidRPr="00255A4C">
              <w:rPr>
                <w:color w:val="000000"/>
                <w:sz w:val="20"/>
                <w:szCs w:val="20"/>
                <w:lang w:val="en-MY" w:eastAsia="en-MY"/>
              </w:rPr>
              <w:t xml:space="preserve"> Share Knowledge </w:t>
            </w:r>
            <w:r w:rsidR="00D42AB9" w:rsidRPr="00255A4C">
              <w:rPr>
                <w:color w:val="000000"/>
                <w:sz w:val="20"/>
                <w:szCs w:val="20"/>
                <w:lang w:val="en-MY" w:eastAsia="en-MY"/>
              </w:rPr>
              <w:t>a</w:t>
            </w:r>
            <w:r w:rsidRPr="00255A4C">
              <w:rPr>
                <w:color w:val="000000"/>
                <w:sz w:val="20"/>
                <w:szCs w:val="20"/>
                <w:lang w:val="en-MY" w:eastAsia="en-MY"/>
              </w:rPr>
              <w:t xml:space="preserve">nd Experience Through Training </w:t>
            </w:r>
            <w:r w:rsidR="00255A4C" w:rsidRPr="00255A4C">
              <w:rPr>
                <w:color w:val="000000"/>
                <w:sz w:val="20"/>
                <w:szCs w:val="20"/>
                <w:lang w:val="en-MY" w:eastAsia="en-MY"/>
              </w:rPr>
              <w:t>a</w:t>
            </w:r>
            <w:r w:rsidRPr="00255A4C">
              <w:rPr>
                <w:color w:val="000000"/>
                <w:sz w:val="20"/>
                <w:szCs w:val="20"/>
                <w:lang w:val="en-MY" w:eastAsia="en-MY"/>
              </w:rPr>
              <w:t xml:space="preserve">nd Reporting </w:t>
            </w:r>
            <w:r w:rsidR="00B643DF" w:rsidRPr="00255A4C">
              <w:rPr>
                <w:color w:val="000000"/>
                <w:sz w:val="20"/>
                <w:szCs w:val="20"/>
                <w:lang w:val="en-MY" w:eastAsia="en-MY"/>
              </w:rPr>
              <w:t>on</w:t>
            </w:r>
            <w:r w:rsidRPr="00255A4C">
              <w:rPr>
                <w:color w:val="000000"/>
                <w:sz w:val="20"/>
                <w:szCs w:val="20"/>
                <w:lang w:val="en-MY" w:eastAsia="en-MY"/>
              </w:rPr>
              <w:t xml:space="preserve"> National Bi Guideline</w:t>
            </w:r>
            <w:r w:rsidR="00920EB9" w:rsidRPr="00255A4C">
              <w:rPr>
                <w:color w:val="000000"/>
                <w:sz w:val="20"/>
                <w:szCs w:val="20"/>
                <w:lang w:val="en-MY" w:eastAsia="en-MY"/>
              </w:rPr>
              <w:t xml:space="preserve"> </w:t>
            </w:r>
            <w:r w:rsidR="00D820F0" w:rsidRPr="00255A4C">
              <w:rPr>
                <w:color w:val="000000"/>
                <w:sz w:val="20"/>
                <w:szCs w:val="20"/>
                <w:lang w:val="en-MY" w:eastAsia="en-MY"/>
              </w:rPr>
              <w:t>Case Studies</w:t>
            </w:r>
          </w:p>
          <w:p w14:paraId="503D6E99" w14:textId="0A8B9A59" w:rsidR="001C46E1" w:rsidRPr="00255A4C" w:rsidRDefault="001C46E1" w:rsidP="00920EB9">
            <w:pPr>
              <w:rPr>
                <w:color w:val="000000"/>
                <w:sz w:val="20"/>
                <w:szCs w:val="20"/>
                <w:lang w:val="en-MY" w:eastAsia="en-MY"/>
              </w:rPr>
            </w:pPr>
          </w:p>
          <w:p w14:paraId="104D79FA" w14:textId="59379EEE" w:rsidR="001C46E1" w:rsidRPr="00255A4C" w:rsidRDefault="001C46E1" w:rsidP="00920EB9">
            <w:pPr>
              <w:rPr>
                <w:color w:val="000000"/>
                <w:sz w:val="20"/>
                <w:szCs w:val="20"/>
                <w:lang w:val="en-MY" w:eastAsia="en-MY"/>
              </w:rPr>
            </w:pPr>
            <w:r w:rsidRPr="00255A4C">
              <w:rPr>
                <w:color w:val="000000"/>
                <w:sz w:val="20"/>
                <w:szCs w:val="20"/>
                <w:lang w:val="en-MY" w:eastAsia="en-MY"/>
              </w:rPr>
              <w:t xml:space="preserve">3 Sessions </w:t>
            </w:r>
            <w:r w:rsidR="004F741E" w:rsidRPr="00255A4C">
              <w:rPr>
                <w:color w:val="000000"/>
                <w:sz w:val="20"/>
                <w:szCs w:val="20"/>
                <w:lang w:val="en-MY" w:eastAsia="en-MY"/>
              </w:rPr>
              <w:t>x RM400 x 2 hours</w:t>
            </w:r>
          </w:p>
          <w:p w14:paraId="2D9B9DE8" w14:textId="3C7DDB53" w:rsidR="004F741E" w:rsidRPr="00255A4C" w:rsidRDefault="004F741E" w:rsidP="00920EB9">
            <w:pPr>
              <w:rPr>
                <w:color w:val="000000"/>
                <w:sz w:val="20"/>
                <w:szCs w:val="20"/>
                <w:lang w:val="en-MY" w:eastAsia="en-MY"/>
              </w:rPr>
            </w:pPr>
            <w:r w:rsidRPr="00255A4C">
              <w:rPr>
                <w:color w:val="000000"/>
                <w:sz w:val="20"/>
                <w:szCs w:val="20"/>
                <w:lang w:val="en-MY" w:eastAsia="en-MY"/>
              </w:rPr>
              <w:t>= RM2400</w:t>
            </w:r>
          </w:p>
          <w:p w14:paraId="006274D9" w14:textId="77777777" w:rsidR="004F741E" w:rsidRPr="00255A4C" w:rsidRDefault="004F741E" w:rsidP="00920EB9">
            <w:pPr>
              <w:rPr>
                <w:color w:val="000000"/>
                <w:sz w:val="20"/>
                <w:szCs w:val="20"/>
                <w:lang w:val="en-MY" w:eastAsia="en-MY"/>
              </w:rPr>
            </w:pPr>
          </w:p>
          <w:p w14:paraId="2528DD96" w14:textId="6E615943" w:rsidR="001C46E1" w:rsidRPr="00255A4C" w:rsidRDefault="00CC1E58" w:rsidP="00920EB9">
            <w:pPr>
              <w:rPr>
                <w:color w:val="000000"/>
                <w:sz w:val="20"/>
                <w:szCs w:val="20"/>
                <w:lang w:val="en-MY" w:eastAsia="en-MY"/>
              </w:rPr>
            </w:pPr>
            <w:r w:rsidRPr="00255A4C">
              <w:rPr>
                <w:color w:val="000000"/>
                <w:sz w:val="20"/>
                <w:szCs w:val="20"/>
                <w:lang w:val="en-MY" w:eastAsia="en-MY"/>
              </w:rPr>
              <w:t xml:space="preserve">RM2400 X </w:t>
            </w:r>
            <w:r w:rsidR="004F741E" w:rsidRPr="00255A4C">
              <w:rPr>
                <w:color w:val="000000"/>
                <w:sz w:val="20"/>
                <w:szCs w:val="20"/>
                <w:lang w:val="en-MY" w:eastAsia="en-MY"/>
              </w:rPr>
              <w:t xml:space="preserve">5 Case Studies x 2 </w:t>
            </w:r>
            <w:r w:rsidR="00E319D4" w:rsidRPr="00255A4C">
              <w:rPr>
                <w:color w:val="000000"/>
                <w:sz w:val="20"/>
                <w:szCs w:val="20"/>
                <w:lang w:val="en-MY" w:eastAsia="en-MY"/>
              </w:rPr>
              <w:t>SME</w:t>
            </w:r>
            <w:r w:rsidRPr="00255A4C">
              <w:rPr>
                <w:color w:val="000000"/>
                <w:sz w:val="20"/>
                <w:szCs w:val="20"/>
                <w:lang w:val="en-MY" w:eastAsia="en-MY"/>
              </w:rPr>
              <w:t>s</w:t>
            </w:r>
          </w:p>
        </w:tc>
        <w:tc>
          <w:tcPr>
            <w:tcW w:w="1780" w:type="dxa"/>
          </w:tcPr>
          <w:p w14:paraId="2BC99C5C" w14:textId="4A8FC3E7" w:rsidR="00B04EBC" w:rsidRPr="00255A4C" w:rsidRDefault="0064016C" w:rsidP="00D453E7">
            <w:pPr>
              <w:spacing w:line="276" w:lineRule="auto"/>
              <w:jc w:val="right"/>
              <w:rPr>
                <w:sz w:val="20"/>
                <w:szCs w:val="20"/>
              </w:rPr>
            </w:pPr>
            <w:r w:rsidRPr="00255A4C">
              <w:rPr>
                <w:sz w:val="20"/>
                <w:szCs w:val="20"/>
              </w:rPr>
              <w:t>24,000.00</w:t>
            </w:r>
          </w:p>
        </w:tc>
        <w:tc>
          <w:tcPr>
            <w:tcW w:w="1766" w:type="dxa"/>
          </w:tcPr>
          <w:p w14:paraId="7080393B" w14:textId="4588FD15" w:rsidR="00B04EBC" w:rsidRPr="00255A4C" w:rsidRDefault="0064016C" w:rsidP="00D453E7">
            <w:pPr>
              <w:spacing w:line="276" w:lineRule="auto"/>
              <w:jc w:val="right"/>
              <w:rPr>
                <w:sz w:val="20"/>
                <w:szCs w:val="20"/>
              </w:rPr>
            </w:pPr>
            <w:r w:rsidRPr="00255A4C">
              <w:rPr>
                <w:sz w:val="20"/>
                <w:szCs w:val="20"/>
              </w:rPr>
              <w:t>24,000.00</w:t>
            </w:r>
          </w:p>
        </w:tc>
      </w:tr>
      <w:tr w:rsidR="001F44FF" w:rsidRPr="00255A4C" w14:paraId="49EFF1E9" w14:textId="77777777" w:rsidTr="001F44FF">
        <w:tc>
          <w:tcPr>
            <w:tcW w:w="694" w:type="dxa"/>
          </w:tcPr>
          <w:p w14:paraId="3236A3A0" w14:textId="79E61845" w:rsidR="00B04EBC" w:rsidRPr="00255A4C" w:rsidRDefault="00403844" w:rsidP="008C7CBE">
            <w:pPr>
              <w:spacing w:line="276" w:lineRule="auto"/>
              <w:rPr>
                <w:sz w:val="20"/>
                <w:szCs w:val="20"/>
              </w:rPr>
            </w:pPr>
            <w:r w:rsidRPr="00255A4C">
              <w:rPr>
                <w:sz w:val="20"/>
                <w:szCs w:val="20"/>
              </w:rPr>
              <w:t>3.</w:t>
            </w:r>
          </w:p>
        </w:tc>
        <w:tc>
          <w:tcPr>
            <w:tcW w:w="1598" w:type="dxa"/>
          </w:tcPr>
          <w:p w14:paraId="7530044B" w14:textId="1AE960E0" w:rsidR="00B04EBC" w:rsidRPr="00255A4C" w:rsidRDefault="00403844" w:rsidP="008C7CBE">
            <w:pPr>
              <w:spacing w:line="276" w:lineRule="auto"/>
              <w:rPr>
                <w:sz w:val="20"/>
                <w:szCs w:val="20"/>
              </w:rPr>
            </w:pPr>
            <w:r w:rsidRPr="00255A4C">
              <w:rPr>
                <w:sz w:val="20"/>
                <w:szCs w:val="20"/>
              </w:rPr>
              <w:t>Coordination</w:t>
            </w:r>
          </w:p>
        </w:tc>
        <w:tc>
          <w:tcPr>
            <w:tcW w:w="3178" w:type="dxa"/>
          </w:tcPr>
          <w:p w14:paraId="33196521" w14:textId="2F2D6EF3" w:rsidR="00403844" w:rsidRPr="00255A4C" w:rsidRDefault="00403844" w:rsidP="00403844">
            <w:pPr>
              <w:pStyle w:val="Default"/>
              <w:rPr>
                <w:sz w:val="20"/>
                <w:szCs w:val="20"/>
              </w:rPr>
            </w:pPr>
            <w:r w:rsidRPr="00255A4C">
              <w:rPr>
                <w:sz w:val="20"/>
                <w:szCs w:val="20"/>
              </w:rPr>
              <w:t>BI Engagements session with Ministries</w:t>
            </w:r>
          </w:p>
          <w:p w14:paraId="4C4F9952" w14:textId="77777777" w:rsidR="00403844" w:rsidRPr="00255A4C" w:rsidRDefault="00403844" w:rsidP="00403844">
            <w:pPr>
              <w:pStyle w:val="Default"/>
              <w:rPr>
                <w:sz w:val="20"/>
                <w:szCs w:val="20"/>
              </w:rPr>
            </w:pPr>
          </w:p>
          <w:p w14:paraId="4E21B9EA" w14:textId="65833929" w:rsidR="00B04EBC" w:rsidRPr="00255A4C" w:rsidRDefault="00403844" w:rsidP="00403844">
            <w:pPr>
              <w:pStyle w:val="Default"/>
              <w:rPr>
                <w:sz w:val="20"/>
                <w:szCs w:val="20"/>
              </w:rPr>
            </w:pPr>
            <w:r w:rsidRPr="00255A4C">
              <w:rPr>
                <w:sz w:val="20"/>
                <w:szCs w:val="20"/>
              </w:rPr>
              <w:t>(R</w:t>
            </w:r>
            <w:r w:rsidR="00FB0962" w:rsidRPr="00255A4C">
              <w:rPr>
                <w:sz w:val="20"/>
                <w:szCs w:val="20"/>
              </w:rPr>
              <w:t xml:space="preserve">M200 X </w:t>
            </w:r>
            <w:r w:rsidR="00C03EBC" w:rsidRPr="00255A4C">
              <w:rPr>
                <w:sz w:val="20"/>
                <w:szCs w:val="20"/>
              </w:rPr>
              <w:t>20 pax</w:t>
            </w:r>
            <w:r w:rsidRPr="00255A4C">
              <w:rPr>
                <w:sz w:val="20"/>
                <w:szCs w:val="20"/>
              </w:rPr>
              <w:t xml:space="preserve"> X </w:t>
            </w:r>
            <w:r w:rsidR="002E236D" w:rsidRPr="00255A4C">
              <w:rPr>
                <w:sz w:val="20"/>
                <w:szCs w:val="20"/>
              </w:rPr>
              <w:t xml:space="preserve">4 </w:t>
            </w:r>
            <w:r w:rsidR="00787092" w:rsidRPr="00255A4C">
              <w:rPr>
                <w:sz w:val="20"/>
                <w:szCs w:val="20"/>
              </w:rPr>
              <w:t>days</w:t>
            </w:r>
            <w:r w:rsidRPr="00255A4C">
              <w:rPr>
                <w:sz w:val="20"/>
                <w:szCs w:val="20"/>
              </w:rPr>
              <w:t>)</w:t>
            </w:r>
            <w:r w:rsidR="00BD4425" w:rsidRPr="00255A4C">
              <w:rPr>
                <w:sz w:val="20"/>
                <w:szCs w:val="20"/>
              </w:rPr>
              <w:t xml:space="preserve"> x 2 times a year</w:t>
            </w:r>
          </w:p>
        </w:tc>
        <w:tc>
          <w:tcPr>
            <w:tcW w:w="1780" w:type="dxa"/>
          </w:tcPr>
          <w:p w14:paraId="7EE62BD5" w14:textId="04893297" w:rsidR="00B04EBC" w:rsidRPr="00255A4C" w:rsidRDefault="00787092" w:rsidP="00D453E7">
            <w:pPr>
              <w:spacing w:line="276" w:lineRule="auto"/>
              <w:jc w:val="right"/>
              <w:rPr>
                <w:sz w:val="20"/>
                <w:szCs w:val="20"/>
              </w:rPr>
            </w:pPr>
            <w:r w:rsidRPr="00255A4C">
              <w:rPr>
                <w:sz w:val="20"/>
                <w:szCs w:val="20"/>
              </w:rPr>
              <w:t>32,000.00</w:t>
            </w:r>
          </w:p>
        </w:tc>
        <w:tc>
          <w:tcPr>
            <w:tcW w:w="1766" w:type="dxa"/>
          </w:tcPr>
          <w:p w14:paraId="5F2C84CF" w14:textId="75EFE55B" w:rsidR="00B04EBC" w:rsidRPr="00255A4C" w:rsidRDefault="00787092" w:rsidP="00D453E7">
            <w:pPr>
              <w:spacing w:line="276" w:lineRule="auto"/>
              <w:jc w:val="right"/>
              <w:rPr>
                <w:sz w:val="20"/>
                <w:szCs w:val="20"/>
              </w:rPr>
            </w:pPr>
            <w:r w:rsidRPr="00255A4C">
              <w:rPr>
                <w:sz w:val="20"/>
                <w:szCs w:val="20"/>
              </w:rPr>
              <w:t>32,000.00</w:t>
            </w:r>
          </w:p>
        </w:tc>
      </w:tr>
      <w:tr w:rsidR="00EB4E1D" w:rsidRPr="00255A4C" w14:paraId="714E0401" w14:textId="77777777" w:rsidTr="00445274">
        <w:tc>
          <w:tcPr>
            <w:tcW w:w="7250" w:type="dxa"/>
            <w:gridSpan w:val="4"/>
          </w:tcPr>
          <w:p w14:paraId="7C233BE2" w14:textId="3A852CE2" w:rsidR="00EB4E1D" w:rsidRPr="00255A4C" w:rsidRDefault="00EB4E1D" w:rsidP="002D0BBE">
            <w:pPr>
              <w:spacing w:line="276" w:lineRule="auto"/>
              <w:jc w:val="center"/>
              <w:rPr>
                <w:b/>
                <w:bCs/>
              </w:rPr>
            </w:pPr>
            <w:r w:rsidRPr="00255A4C">
              <w:rPr>
                <w:b/>
                <w:bCs/>
              </w:rPr>
              <w:t>TOTAL (RM)</w:t>
            </w:r>
          </w:p>
        </w:tc>
        <w:tc>
          <w:tcPr>
            <w:tcW w:w="1766" w:type="dxa"/>
          </w:tcPr>
          <w:p w14:paraId="6EBD5AB7" w14:textId="56512375" w:rsidR="00EB4E1D" w:rsidRPr="00255A4C" w:rsidRDefault="00DA68A4" w:rsidP="002D0BBE">
            <w:pPr>
              <w:spacing w:line="276" w:lineRule="auto"/>
              <w:jc w:val="right"/>
              <w:rPr>
                <w:b/>
                <w:bCs/>
              </w:rPr>
            </w:pPr>
            <w:r>
              <w:rPr>
                <w:b/>
                <w:bCs/>
              </w:rPr>
              <w:t>7</w:t>
            </w:r>
            <w:r w:rsidR="00EB4E1D" w:rsidRPr="00255A4C">
              <w:rPr>
                <w:b/>
                <w:bCs/>
              </w:rPr>
              <w:t>6,000.00</w:t>
            </w:r>
          </w:p>
        </w:tc>
      </w:tr>
    </w:tbl>
    <w:p w14:paraId="3EDD2F4D" w14:textId="77777777" w:rsidR="000D3845" w:rsidRDefault="000D3845" w:rsidP="008C7CBE">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r>
              <w:rPr>
                <w:rFonts w:eastAsia="MS Mincho"/>
              </w:rPr>
              <w:t>Penolong Pengurus</w:t>
            </w:r>
          </w:p>
          <w:p w14:paraId="063E5EED" w14:textId="3BDA19C9" w:rsidR="00CE0E44" w:rsidRPr="00CE0E44" w:rsidRDefault="002D0BBE" w:rsidP="00CE0E44">
            <w:pPr>
              <w:spacing w:line="276" w:lineRule="auto"/>
              <w:rPr>
                <w:rFonts w:eastAsia="MS Mincho"/>
              </w:rPr>
            </w:pPr>
            <w:r>
              <w:rPr>
                <w:rFonts w:eastAsia="MS Mincho"/>
              </w:rPr>
              <w:t>21</w:t>
            </w:r>
            <w:r w:rsidR="00F02211">
              <w:rPr>
                <w:rFonts w:eastAsia="MS Mincho"/>
              </w:rPr>
              <w:t xml:space="preserve"> </w:t>
            </w:r>
            <w:r>
              <w:rPr>
                <w:rFonts w:eastAsia="MS Mincho"/>
              </w:rPr>
              <w:t>July</w:t>
            </w:r>
            <w:r w:rsidR="00E74405">
              <w:rPr>
                <w:rFonts w:eastAsia="MS Mincho"/>
              </w:rPr>
              <w:t xml:space="preserve"> </w:t>
            </w:r>
            <w:r w:rsidR="00CE0E44">
              <w:rPr>
                <w:rFonts w:eastAsia="MS Mincho"/>
              </w:rPr>
              <w:t>202</w:t>
            </w:r>
            <w:r>
              <w:rPr>
                <w:rFonts w:eastAsia="MS Mincho"/>
              </w:rPr>
              <w:t>3</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6D068A93" w:rsidR="00CE0E44" w:rsidRPr="00CE0E44" w:rsidRDefault="002D0BBE" w:rsidP="00CE0E44">
            <w:pPr>
              <w:spacing w:line="276" w:lineRule="auto"/>
              <w:rPr>
                <w:rFonts w:eastAsia="MS Mincho"/>
              </w:rPr>
            </w:pPr>
            <w:r>
              <w:rPr>
                <w:rFonts w:eastAsia="MS Mincho"/>
              </w:rPr>
              <w:t>21</w:t>
            </w:r>
            <w:r w:rsidR="00E74405">
              <w:rPr>
                <w:rFonts w:eastAsia="MS Mincho"/>
              </w:rPr>
              <w:t xml:space="preserve"> </w:t>
            </w:r>
            <w:r>
              <w:rPr>
                <w:rFonts w:eastAsia="MS Mincho"/>
              </w:rPr>
              <w:t xml:space="preserve">July </w:t>
            </w:r>
            <w:r w:rsidR="00E74405">
              <w:rPr>
                <w:rFonts w:eastAsia="MS Mincho"/>
              </w:rPr>
              <w:t>202</w:t>
            </w:r>
            <w:r>
              <w:rPr>
                <w:rFonts w:eastAsia="MS Mincho"/>
              </w:rPr>
              <w:t>3</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32CFFE78" w:rsidR="00CE0E44" w:rsidRDefault="002D0BBE" w:rsidP="00F00F99">
            <w:pPr>
              <w:rPr>
                <w:rFonts w:eastAsia="MS Mincho"/>
                <w:b/>
                <w:bCs/>
              </w:rPr>
            </w:pPr>
            <w:r>
              <w:rPr>
                <w:rFonts w:eastAsia="MS Mincho"/>
                <w:b/>
                <w:bCs/>
              </w:rPr>
              <w:t>M</w:t>
            </w:r>
            <w:r w:rsidR="00C755E7">
              <w:rPr>
                <w:rFonts w:eastAsia="MS Mincho"/>
                <w:b/>
                <w:bCs/>
              </w:rPr>
              <w:t>O</w:t>
            </w:r>
            <w:r>
              <w:rPr>
                <w:rFonts w:eastAsia="MS Mincho"/>
                <w:b/>
                <w:bCs/>
              </w:rPr>
              <w:t>HAMMED ALAMIN REHAN</w:t>
            </w:r>
          </w:p>
          <w:p w14:paraId="36CC9A58" w14:textId="77777777" w:rsidR="00CE0E44" w:rsidRPr="00EA0172" w:rsidRDefault="00CE0E44" w:rsidP="00F00F99">
            <w:pPr>
              <w:rPr>
                <w:rFonts w:eastAsia="MS Mincho"/>
              </w:rPr>
            </w:pPr>
            <w:r>
              <w:rPr>
                <w:rFonts w:eastAsia="MS Mincho"/>
              </w:rPr>
              <w:t>Pengarah</w:t>
            </w:r>
          </w:p>
          <w:p w14:paraId="362348A7" w14:textId="33FCA399" w:rsidR="00CE0E44" w:rsidRPr="00CE0E44" w:rsidRDefault="002D0BBE" w:rsidP="00F00F99">
            <w:pPr>
              <w:rPr>
                <w:rFonts w:eastAsia="MS Mincho"/>
                <w:b/>
                <w:bCs/>
              </w:rPr>
            </w:pPr>
            <w:r>
              <w:rPr>
                <w:rFonts w:eastAsia="MS Mincho"/>
              </w:rPr>
              <w:t>21</w:t>
            </w:r>
            <w:r w:rsidR="00E74405">
              <w:rPr>
                <w:rFonts w:eastAsia="MS Mincho"/>
              </w:rPr>
              <w:t xml:space="preserve"> </w:t>
            </w:r>
            <w:r>
              <w:rPr>
                <w:rFonts w:eastAsia="MS Mincho"/>
              </w:rPr>
              <w:t>July</w:t>
            </w:r>
            <w:r w:rsidR="00E74405">
              <w:rPr>
                <w:rFonts w:eastAsia="MS Mincho"/>
              </w:rPr>
              <w:t xml:space="preserve"> 202</w:t>
            </w:r>
            <w:r>
              <w:rPr>
                <w:rFonts w:eastAsia="MS Mincho"/>
              </w:rPr>
              <w:t>3</w:t>
            </w:r>
          </w:p>
        </w:tc>
      </w:tr>
      <w:bookmarkEnd w:id="1"/>
    </w:tbl>
    <w:p w14:paraId="7F57ED27" w14:textId="35F7F798" w:rsidR="001C68B0" w:rsidRDefault="001C68B0" w:rsidP="00CE0E44"/>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0C10" w14:textId="77777777" w:rsidR="00D25DFA" w:rsidRDefault="00D25DFA" w:rsidP="00965EDD">
      <w:r>
        <w:separator/>
      </w:r>
    </w:p>
  </w:endnote>
  <w:endnote w:type="continuationSeparator" w:id="0">
    <w:p w14:paraId="1A4BEE53" w14:textId="77777777" w:rsidR="00D25DFA" w:rsidRDefault="00D25DFA"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0514" w14:textId="77777777" w:rsidR="00D25DFA" w:rsidRDefault="00D25DFA" w:rsidP="00965EDD">
      <w:r>
        <w:separator/>
      </w:r>
    </w:p>
  </w:footnote>
  <w:footnote w:type="continuationSeparator" w:id="0">
    <w:p w14:paraId="536E2D55" w14:textId="77777777" w:rsidR="00D25DFA" w:rsidRDefault="00D25DFA"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0"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1"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19"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0"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2"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4"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6"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28"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3082022">
    <w:abstractNumId w:val="2"/>
  </w:num>
  <w:num w:numId="2" w16cid:durableId="1652638261">
    <w:abstractNumId w:val="33"/>
  </w:num>
  <w:num w:numId="3" w16cid:durableId="1274628418">
    <w:abstractNumId w:val="24"/>
  </w:num>
  <w:num w:numId="4" w16cid:durableId="1428455320">
    <w:abstractNumId w:val="26"/>
  </w:num>
  <w:num w:numId="5" w16cid:durableId="1398943917">
    <w:abstractNumId w:val="21"/>
  </w:num>
  <w:num w:numId="6" w16cid:durableId="1892421971">
    <w:abstractNumId w:val="30"/>
  </w:num>
  <w:num w:numId="7" w16cid:durableId="478232781">
    <w:abstractNumId w:val="9"/>
  </w:num>
  <w:num w:numId="8" w16cid:durableId="194120355">
    <w:abstractNumId w:val="6"/>
  </w:num>
  <w:num w:numId="9" w16cid:durableId="1740709255">
    <w:abstractNumId w:val="27"/>
  </w:num>
  <w:num w:numId="10" w16cid:durableId="1150443337">
    <w:abstractNumId w:val="7"/>
  </w:num>
  <w:num w:numId="11" w16cid:durableId="754933416">
    <w:abstractNumId w:val="16"/>
  </w:num>
  <w:num w:numId="12" w16cid:durableId="1159812159">
    <w:abstractNumId w:val="28"/>
  </w:num>
  <w:num w:numId="13" w16cid:durableId="1046372513">
    <w:abstractNumId w:val="32"/>
  </w:num>
  <w:num w:numId="14" w16cid:durableId="1951474417">
    <w:abstractNumId w:val="1"/>
  </w:num>
  <w:num w:numId="15" w16cid:durableId="55401113">
    <w:abstractNumId w:val="25"/>
  </w:num>
  <w:num w:numId="16" w16cid:durableId="268395056">
    <w:abstractNumId w:val="18"/>
  </w:num>
  <w:num w:numId="17" w16cid:durableId="1888487148">
    <w:abstractNumId w:val="12"/>
  </w:num>
  <w:num w:numId="18" w16cid:durableId="1532843242">
    <w:abstractNumId w:val="14"/>
  </w:num>
  <w:num w:numId="19" w16cid:durableId="2124030608">
    <w:abstractNumId w:val="23"/>
  </w:num>
  <w:num w:numId="20" w16cid:durableId="871572439">
    <w:abstractNumId w:val="11"/>
  </w:num>
  <w:num w:numId="21" w16cid:durableId="1185628972">
    <w:abstractNumId w:val="19"/>
  </w:num>
  <w:num w:numId="22" w16cid:durableId="584653607">
    <w:abstractNumId w:val="17"/>
  </w:num>
  <w:num w:numId="23" w16cid:durableId="1995210265">
    <w:abstractNumId w:val="15"/>
  </w:num>
  <w:num w:numId="24" w16cid:durableId="1674843188">
    <w:abstractNumId w:val="8"/>
  </w:num>
  <w:num w:numId="25" w16cid:durableId="1926956760">
    <w:abstractNumId w:val="31"/>
  </w:num>
  <w:num w:numId="26" w16cid:durableId="665016906">
    <w:abstractNumId w:val="10"/>
  </w:num>
  <w:num w:numId="27" w16cid:durableId="309360727">
    <w:abstractNumId w:val="13"/>
  </w:num>
  <w:num w:numId="28" w16cid:durableId="840855071">
    <w:abstractNumId w:val="29"/>
  </w:num>
  <w:num w:numId="29" w16cid:durableId="1182476484">
    <w:abstractNumId w:val="0"/>
  </w:num>
  <w:num w:numId="30" w16cid:durableId="1546209623">
    <w:abstractNumId w:val="22"/>
  </w:num>
  <w:num w:numId="31" w16cid:durableId="1086414621">
    <w:abstractNumId w:val="20"/>
  </w:num>
  <w:num w:numId="32" w16cid:durableId="2021463788">
    <w:abstractNumId w:val="3"/>
  </w:num>
  <w:num w:numId="33" w16cid:durableId="562831338">
    <w:abstractNumId w:val="5"/>
  </w:num>
  <w:num w:numId="34" w16cid:durableId="198184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4DF1"/>
    <w:rsid w:val="000308EC"/>
    <w:rsid w:val="000465CD"/>
    <w:rsid w:val="00046FDF"/>
    <w:rsid w:val="000540B5"/>
    <w:rsid w:val="000540F4"/>
    <w:rsid w:val="000553F4"/>
    <w:rsid w:val="00060347"/>
    <w:rsid w:val="0006074D"/>
    <w:rsid w:val="00061B44"/>
    <w:rsid w:val="0006282E"/>
    <w:rsid w:val="00064921"/>
    <w:rsid w:val="00076063"/>
    <w:rsid w:val="000A4496"/>
    <w:rsid w:val="000B6DD5"/>
    <w:rsid w:val="000C5830"/>
    <w:rsid w:val="000D0273"/>
    <w:rsid w:val="000D263B"/>
    <w:rsid w:val="000D3845"/>
    <w:rsid w:val="000E5D2B"/>
    <w:rsid w:val="001046A8"/>
    <w:rsid w:val="00104DDD"/>
    <w:rsid w:val="00123121"/>
    <w:rsid w:val="00137342"/>
    <w:rsid w:val="00141084"/>
    <w:rsid w:val="001427C7"/>
    <w:rsid w:val="00143F8A"/>
    <w:rsid w:val="00150002"/>
    <w:rsid w:val="00156B1F"/>
    <w:rsid w:val="00161BDF"/>
    <w:rsid w:val="001635BA"/>
    <w:rsid w:val="00165368"/>
    <w:rsid w:val="00175663"/>
    <w:rsid w:val="0019234F"/>
    <w:rsid w:val="001A3EC1"/>
    <w:rsid w:val="001B15AC"/>
    <w:rsid w:val="001B5699"/>
    <w:rsid w:val="001C46E1"/>
    <w:rsid w:val="001C68B0"/>
    <w:rsid w:val="001E3CEA"/>
    <w:rsid w:val="001E59E7"/>
    <w:rsid w:val="001E7BAE"/>
    <w:rsid w:val="001F1660"/>
    <w:rsid w:val="001F27B3"/>
    <w:rsid w:val="001F44FF"/>
    <w:rsid w:val="001F7FF8"/>
    <w:rsid w:val="00203B7A"/>
    <w:rsid w:val="00232962"/>
    <w:rsid w:val="0024408D"/>
    <w:rsid w:val="002472A8"/>
    <w:rsid w:val="00250A73"/>
    <w:rsid w:val="00255A4C"/>
    <w:rsid w:val="002647E9"/>
    <w:rsid w:val="00271F40"/>
    <w:rsid w:val="0027447C"/>
    <w:rsid w:val="002A41F6"/>
    <w:rsid w:val="002B2486"/>
    <w:rsid w:val="002B7979"/>
    <w:rsid w:val="002C0288"/>
    <w:rsid w:val="002C070B"/>
    <w:rsid w:val="002C3B3E"/>
    <w:rsid w:val="002D0BBE"/>
    <w:rsid w:val="002D766E"/>
    <w:rsid w:val="002E1447"/>
    <w:rsid w:val="002E236D"/>
    <w:rsid w:val="002F3AFE"/>
    <w:rsid w:val="002F5513"/>
    <w:rsid w:val="00301EA6"/>
    <w:rsid w:val="00313B5F"/>
    <w:rsid w:val="00336A6D"/>
    <w:rsid w:val="00342089"/>
    <w:rsid w:val="003423EC"/>
    <w:rsid w:val="003429CD"/>
    <w:rsid w:val="0036378C"/>
    <w:rsid w:val="0037218E"/>
    <w:rsid w:val="003737DD"/>
    <w:rsid w:val="003809EC"/>
    <w:rsid w:val="00397A41"/>
    <w:rsid w:val="003E4026"/>
    <w:rsid w:val="003E492F"/>
    <w:rsid w:val="003E5526"/>
    <w:rsid w:val="003F3461"/>
    <w:rsid w:val="003F60BC"/>
    <w:rsid w:val="00403844"/>
    <w:rsid w:val="0042080A"/>
    <w:rsid w:val="00423D97"/>
    <w:rsid w:val="00433410"/>
    <w:rsid w:val="0045153B"/>
    <w:rsid w:val="00470F99"/>
    <w:rsid w:val="00474AEB"/>
    <w:rsid w:val="00496185"/>
    <w:rsid w:val="00496715"/>
    <w:rsid w:val="004A0BF8"/>
    <w:rsid w:val="004A106D"/>
    <w:rsid w:val="004A3E34"/>
    <w:rsid w:val="004A5E6C"/>
    <w:rsid w:val="004B497F"/>
    <w:rsid w:val="004C0E14"/>
    <w:rsid w:val="004D57F3"/>
    <w:rsid w:val="004E59C5"/>
    <w:rsid w:val="004F3B99"/>
    <w:rsid w:val="004F3B9A"/>
    <w:rsid w:val="004F741E"/>
    <w:rsid w:val="00501DD9"/>
    <w:rsid w:val="00511257"/>
    <w:rsid w:val="0051282F"/>
    <w:rsid w:val="00514DBC"/>
    <w:rsid w:val="005246D2"/>
    <w:rsid w:val="0052634C"/>
    <w:rsid w:val="00542D8B"/>
    <w:rsid w:val="0054466C"/>
    <w:rsid w:val="00554E3B"/>
    <w:rsid w:val="00564B68"/>
    <w:rsid w:val="0057513D"/>
    <w:rsid w:val="0057654C"/>
    <w:rsid w:val="0057666C"/>
    <w:rsid w:val="00584848"/>
    <w:rsid w:val="005A49C3"/>
    <w:rsid w:val="005B1A70"/>
    <w:rsid w:val="005B20C7"/>
    <w:rsid w:val="005B483F"/>
    <w:rsid w:val="005B5AC4"/>
    <w:rsid w:val="005C6F87"/>
    <w:rsid w:val="005D5DA6"/>
    <w:rsid w:val="005E2403"/>
    <w:rsid w:val="005E2649"/>
    <w:rsid w:val="005E760A"/>
    <w:rsid w:val="00610518"/>
    <w:rsid w:val="00614C2C"/>
    <w:rsid w:val="00615E5D"/>
    <w:rsid w:val="00616578"/>
    <w:rsid w:val="00630805"/>
    <w:rsid w:val="00630CEA"/>
    <w:rsid w:val="0064016C"/>
    <w:rsid w:val="006412B7"/>
    <w:rsid w:val="00644069"/>
    <w:rsid w:val="00656DEF"/>
    <w:rsid w:val="0065760C"/>
    <w:rsid w:val="0066761C"/>
    <w:rsid w:val="006705C4"/>
    <w:rsid w:val="006809D7"/>
    <w:rsid w:val="006969F7"/>
    <w:rsid w:val="00697C0B"/>
    <w:rsid w:val="006A23D6"/>
    <w:rsid w:val="006B105A"/>
    <w:rsid w:val="006B4402"/>
    <w:rsid w:val="006B651B"/>
    <w:rsid w:val="006C5E8D"/>
    <w:rsid w:val="006D457B"/>
    <w:rsid w:val="006E2CE1"/>
    <w:rsid w:val="006E745E"/>
    <w:rsid w:val="006F1263"/>
    <w:rsid w:val="006F6DD6"/>
    <w:rsid w:val="006F7655"/>
    <w:rsid w:val="00711BF8"/>
    <w:rsid w:val="00736EED"/>
    <w:rsid w:val="00754AE3"/>
    <w:rsid w:val="0075572A"/>
    <w:rsid w:val="007602DA"/>
    <w:rsid w:val="00766C25"/>
    <w:rsid w:val="00773B4B"/>
    <w:rsid w:val="00775030"/>
    <w:rsid w:val="0078226F"/>
    <w:rsid w:val="007861B6"/>
    <w:rsid w:val="00787092"/>
    <w:rsid w:val="00792248"/>
    <w:rsid w:val="007928BE"/>
    <w:rsid w:val="0079576F"/>
    <w:rsid w:val="007A217F"/>
    <w:rsid w:val="007B1650"/>
    <w:rsid w:val="007B7ADD"/>
    <w:rsid w:val="007C0358"/>
    <w:rsid w:val="007C1F5B"/>
    <w:rsid w:val="007C29C5"/>
    <w:rsid w:val="007C5DF8"/>
    <w:rsid w:val="007D126F"/>
    <w:rsid w:val="007D6403"/>
    <w:rsid w:val="007D669F"/>
    <w:rsid w:val="007E2BAE"/>
    <w:rsid w:val="007F2466"/>
    <w:rsid w:val="007F3E2D"/>
    <w:rsid w:val="007F6CE0"/>
    <w:rsid w:val="007F74B5"/>
    <w:rsid w:val="00830EA7"/>
    <w:rsid w:val="008313DA"/>
    <w:rsid w:val="00841F1C"/>
    <w:rsid w:val="00842B97"/>
    <w:rsid w:val="008432BD"/>
    <w:rsid w:val="0085037D"/>
    <w:rsid w:val="00856EB6"/>
    <w:rsid w:val="008702FD"/>
    <w:rsid w:val="008840DD"/>
    <w:rsid w:val="00887AC6"/>
    <w:rsid w:val="008C7CBE"/>
    <w:rsid w:val="008E0C07"/>
    <w:rsid w:val="00911A3C"/>
    <w:rsid w:val="00920EB9"/>
    <w:rsid w:val="009212CC"/>
    <w:rsid w:val="00934B8E"/>
    <w:rsid w:val="00937F1D"/>
    <w:rsid w:val="00951E04"/>
    <w:rsid w:val="00961940"/>
    <w:rsid w:val="00965EDD"/>
    <w:rsid w:val="009723AD"/>
    <w:rsid w:val="009768C2"/>
    <w:rsid w:val="0097799D"/>
    <w:rsid w:val="00977CB6"/>
    <w:rsid w:val="0098659C"/>
    <w:rsid w:val="009A1A41"/>
    <w:rsid w:val="009A54DE"/>
    <w:rsid w:val="009B31FD"/>
    <w:rsid w:val="009B403F"/>
    <w:rsid w:val="009B65FE"/>
    <w:rsid w:val="009C4479"/>
    <w:rsid w:val="009D04C2"/>
    <w:rsid w:val="009D73E4"/>
    <w:rsid w:val="009E3DFB"/>
    <w:rsid w:val="00A0039B"/>
    <w:rsid w:val="00A004DA"/>
    <w:rsid w:val="00A029FB"/>
    <w:rsid w:val="00A042BF"/>
    <w:rsid w:val="00A1158B"/>
    <w:rsid w:val="00A1724F"/>
    <w:rsid w:val="00A20D1E"/>
    <w:rsid w:val="00A24825"/>
    <w:rsid w:val="00A261A1"/>
    <w:rsid w:val="00A27FDF"/>
    <w:rsid w:val="00A406B4"/>
    <w:rsid w:val="00A43DE6"/>
    <w:rsid w:val="00A459D3"/>
    <w:rsid w:val="00A56F1C"/>
    <w:rsid w:val="00A572BC"/>
    <w:rsid w:val="00A57548"/>
    <w:rsid w:val="00A66926"/>
    <w:rsid w:val="00A80341"/>
    <w:rsid w:val="00A84887"/>
    <w:rsid w:val="00A85BB5"/>
    <w:rsid w:val="00A87342"/>
    <w:rsid w:val="00A92863"/>
    <w:rsid w:val="00AB003A"/>
    <w:rsid w:val="00AB140F"/>
    <w:rsid w:val="00AB4B29"/>
    <w:rsid w:val="00AC5D94"/>
    <w:rsid w:val="00AD297C"/>
    <w:rsid w:val="00AE1A44"/>
    <w:rsid w:val="00AF1516"/>
    <w:rsid w:val="00B04EBC"/>
    <w:rsid w:val="00B115EA"/>
    <w:rsid w:val="00B159FF"/>
    <w:rsid w:val="00B1705A"/>
    <w:rsid w:val="00B325B0"/>
    <w:rsid w:val="00B441CD"/>
    <w:rsid w:val="00B51929"/>
    <w:rsid w:val="00B619BF"/>
    <w:rsid w:val="00B6226E"/>
    <w:rsid w:val="00B643DF"/>
    <w:rsid w:val="00B6655F"/>
    <w:rsid w:val="00B67988"/>
    <w:rsid w:val="00B765DA"/>
    <w:rsid w:val="00B94B04"/>
    <w:rsid w:val="00BA132F"/>
    <w:rsid w:val="00BA536A"/>
    <w:rsid w:val="00BA7368"/>
    <w:rsid w:val="00BC75F1"/>
    <w:rsid w:val="00BD4425"/>
    <w:rsid w:val="00BE5FFB"/>
    <w:rsid w:val="00BE7AF0"/>
    <w:rsid w:val="00C01CA8"/>
    <w:rsid w:val="00C03EBC"/>
    <w:rsid w:val="00C03FF1"/>
    <w:rsid w:val="00C111C6"/>
    <w:rsid w:val="00C15681"/>
    <w:rsid w:val="00C2291C"/>
    <w:rsid w:val="00C248F9"/>
    <w:rsid w:val="00C25A58"/>
    <w:rsid w:val="00C32051"/>
    <w:rsid w:val="00C4040B"/>
    <w:rsid w:val="00C46465"/>
    <w:rsid w:val="00C50919"/>
    <w:rsid w:val="00C53B0C"/>
    <w:rsid w:val="00C734F0"/>
    <w:rsid w:val="00C7513B"/>
    <w:rsid w:val="00C755E7"/>
    <w:rsid w:val="00CB5FAA"/>
    <w:rsid w:val="00CB6F06"/>
    <w:rsid w:val="00CC12D5"/>
    <w:rsid w:val="00CC1E58"/>
    <w:rsid w:val="00CC3732"/>
    <w:rsid w:val="00CC3990"/>
    <w:rsid w:val="00CD02C3"/>
    <w:rsid w:val="00CD4F75"/>
    <w:rsid w:val="00CD55B4"/>
    <w:rsid w:val="00CE060F"/>
    <w:rsid w:val="00CE0E44"/>
    <w:rsid w:val="00CF4A83"/>
    <w:rsid w:val="00D01154"/>
    <w:rsid w:val="00D0294F"/>
    <w:rsid w:val="00D07FC3"/>
    <w:rsid w:val="00D25DFA"/>
    <w:rsid w:val="00D2714A"/>
    <w:rsid w:val="00D30BFD"/>
    <w:rsid w:val="00D33BB0"/>
    <w:rsid w:val="00D35236"/>
    <w:rsid w:val="00D42AB9"/>
    <w:rsid w:val="00D434BF"/>
    <w:rsid w:val="00D453E7"/>
    <w:rsid w:val="00D61147"/>
    <w:rsid w:val="00D625D3"/>
    <w:rsid w:val="00D729EA"/>
    <w:rsid w:val="00D732FA"/>
    <w:rsid w:val="00D820F0"/>
    <w:rsid w:val="00D92385"/>
    <w:rsid w:val="00D92C0E"/>
    <w:rsid w:val="00D95AE1"/>
    <w:rsid w:val="00DA6499"/>
    <w:rsid w:val="00DA68A4"/>
    <w:rsid w:val="00DB29E4"/>
    <w:rsid w:val="00DB7CAE"/>
    <w:rsid w:val="00DC0A9D"/>
    <w:rsid w:val="00DC1B66"/>
    <w:rsid w:val="00DE52C4"/>
    <w:rsid w:val="00DF377B"/>
    <w:rsid w:val="00DF3A1E"/>
    <w:rsid w:val="00E00C8B"/>
    <w:rsid w:val="00E078F4"/>
    <w:rsid w:val="00E122DA"/>
    <w:rsid w:val="00E13BB2"/>
    <w:rsid w:val="00E271E3"/>
    <w:rsid w:val="00E319D4"/>
    <w:rsid w:val="00E55A3E"/>
    <w:rsid w:val="00E6112F"/>
    <w:rsid w:val="00E6416F"/>
    <w:rsid w:val="00E65394"/>
    <w:rsid w:val="00E74405"/>
    <w:rsid w:val="00E74FF4"/>
    <w:rsid w:val="00E816AB"/>
    <w:rsid w:val="00E83365"/>
    <w:rsid w:val="00E85E50"/>
    <w:rsid w:val="00E92568"/>
    <w:rsid w:val="00EA3CB1"/>
    <w:rsid w:val="00EA4641"/>
    <w:rsid w:val="00EB4E1D"/>
    <w:rsid w:val="00EB6B1F"/>
    <w:rsid w:val="00EC1994"/>
    <w:rsid w:val="00ED131F"/>
    <w:rsid w:val="00ED16B5"/>
    <w:rsid w:val="00ED4D49"/>
    <w:rsid w:val="00EE4C27"/>
    <w:rsid w:val="00EF6740"/>
    <w:rsid w:val="00F00F99"/>
    <w:rsid w:val="00F02211"/>
    <w:rsid w:val="00F024C9"/>
    <w:rsid w:val="00F03A94"/>
    <w:rsid w:val="00F10B4F"/>
    <w:rsid w:val="00F31BB2"/>
    <w:rsid w:val="00F40036"/>
    <w:rsid w:val="00F40D09"/>
    <w:rsid w:val="00F50850"/>
    <w:rsid w:val="00F54969"/>
    <w:rsid w:val="00F55393"/>
    <w:rsid w:val="00F60210"/>
    <w:rsid w:val="00F61FFE"/>
    <w:rsid w:val="00F622EC"/>
    <w:rsid w:val="00F63071"/>
    <w:rsid w:val="00F64632"/>
    <w:rsid w:val="00F673E9"/>
    <w:rsid w:val="00F7517E"/>
    <w:rsid w:val="00F9723C"/>
    <w:rsid w:val="00FA2210"/>
    <w:rsid w:val="00FA5884"/>
    <w:rsid w:val="00FB0962"/>
    <w:rsid w:val="00FB26E8"/>
    <w:rsid w:val="00FB315D"/>
    <w:rsid w:val="00FC1A2D"/>
    <w:rsid w:val="00FC209B"/>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68</cp:revision>
  <dcterms:created xsi:type="dcterms:W3CDTF">2023-07-21T09:09:00Z</dcterms:created>
  <dcterms:modified xsi:type="dcterms:W3CDTF">2023-07-21T13:12:00Z</dcterms:modified>
</cp:coreProperties>
</file>