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6803"/>
      </w:tblGrid>
      <w:tr w:rsidR="001635BA" w:rsidRPr="00EA0172" w14:paraId="23538E08" w14:textId="77777777" w:rsidTr="00AF2B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1265F896" w:rsidR="001635BA" w:rsidRPr="00C86286" w:rsidRDefault="00B41648" w:rsidP="0020423D">
            <w:pPr>
              <w:spacing w:before="120" w:after="120" w:line="276" w:lineRule="auto"/>
              <w:jc w:val="both"/>
              <w:rPr>
                <w:lang w:val="ms-MY"/>
              </w:rPr>
            </w:pPr>
            <w:proofErr w:type="spellStart"/>
            <w:r w:rsidRPr="00C86286">
              <w:rPr>
                <w:lang w:val="ms-MY"/>
              </w:rPr>
              <w:t>Capacity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Building</w:t>
            </w:r>
            <w:proofErr w:type="spellEnd"/>
            <w:r w:rsidR="00EE3518" w:rsidRPr="00C86286">
              <w:rPr>
                <w:lang w:val="ms-MY"/>
              </w:rPr>
              <w:t xml:space="preserve">: </w:t>
            </w:r>
            <w:proofErr w:type="spellStart"/>
            <w:r w:rsidR="00EC5E90">
              <w:rPr>
                <w:lang w:val="ms-MY"/>
              </w:rPr>
              <w:t>Good</w:t>
            </w:r>
            <w:proofErr w:type="spellEnd"/>
            <w:r w:rsidR="00EC5E90">
              <w:rPr>
                <w:lang w:val="ms-MY"/>
              </w:rPr>
              <w:t xml:space="preserve"> </w:t>
            </w:r>
            <w:proofErr w:type="spellStart"/>
            <w:r w:rsidR="00EC5E90">
              <w:rPr>
                <w:lang w:val="ms-MY"/>
              </w:rPr>
              <w:t>Regulatory</w:t>
            </w:r>
            <w:proofErr w:type="spellEnd"/>
            <w:r w:rsidR="00EC5E90">
              <w:rPr>
                <w:lang w:val="ms-MY"/>
              </w:rPr>
              <w:t xml:space="preserve"> </w:t>
            </w:r>
            <w:proofErr w:type="spellStart"/>
            <w:r w:rsidR="00EC5E90">
              <w:rPr>
                <w:lang w:val="ms-MY"/>
              </w:rPr>
              <w:t>Practice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Benchmarking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with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Republic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of</w:t>
            </w:r>
            <w:proofErr w:type="spellEnd"/>
            <w:r w:rsidRPr="00C86286">
              <w:rPr>
                <w:lang w:val="ms-MY"/>
              </w:rPr>
              <w:t xml:space="preserve"> Korea</w:t>
            </w:r>
            <w:r w:rsidR="00EE3518" w:rsidRPr="00C86286">
              <w:rPr>
                <w:lang w:val="ms-MY"/>
              </w:rPr>
              <w:t xml:space="preserve"> and Senior </w:t>
            </w:r>
            <w:proofErr w:type="spellStart"/>
            <w:r w:rsidR="00EE3518" w:rsidRPr="00C86286">
              <w:rPr>
                <w:lang w:val="ms-MY"/>
              </w:rPr>
              <w:t>Official</w:t>
            </w:r>
            <w:proofErr w:type="spellEnd"/>
            <w:r w:rsidR="00EE3518" w:rsidRPr="00C86286">
              <w:rPr>
                <w:lang w:val="ms-MY"/>
              </w:rPr>
              <w:t xml:space="preserve"> Bilateral </w:t>
            </w:r>
            <w:proofErr w:type="spellStart"/>
            <w:r w:rsidR="00EE3518" w:rsidRPr="00C86286">
              <w:rPr>
                <w:lang w:val="ms-MY"/>
              </w:rPr>
              <w:t>Meeting</w:t>
            </w:r>
            <w:proofErr w:type="spellEnd"/>
            <w:r w:rsidR="00EE3518" w:rsidRPr="00C86286">
              <w:rPr>
                <w:lang w:val="ms-MY"/>
              </w:rPr>
              <w:t xml:space="preserve"> </w:t>
            </w:r>
            <w:proofErr w:type="spellStart"/>
            <w:r w:rsidR="00EE3518" w:rsidRPr="00C86286">
              <w:rPr>
                <w:lang w:val="ms-MY"/>
              </w:rPr>
              <w:t>on</w:t>
            </w:r>
            <w:proofErr w:type="spellEnd"/>
            <w:r w:rsidR="00EE3518" w:rsidRPr="00C86286">
              <w:rPr>
                <w:lang w:val="ms-MY"/>
              </w:rPr>
              <w:t xml:space="preserve"> IPEF</w:t>
            </w:r>
            <w:r w:rsidR="0006509A" w:rsidRPr="00C86286">
              <w:rPr>
                <w:lang w:val="ms-MY"/>
              </w:rPr>
              <w:t>.</w:t>
            </w:r>
          </w:p>
        </w:tc>
      </w:tr>
      <w:tr w:rsidR="001635BA" w:rsidRPr="00EA0172" w14:paraId="30863CD5" w14:textId="77777777" w:rsidTr="00AF2B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63EA95B4" w:rsidR="0012144D" w:rsidRPr="00C86286" w:rsidRDefault="00325E9B" w:rsidP="002C7DC6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C86286">
              <w:rPr>
                <w:lang w:val="ms-MY"/>
              </w:rPr>
              <w:t>9</w:t>
            </w:r>
            <w:r w:rsidR="00A77939" w:rsidRPr="00C86286">
              <w:rPr>
                <w:lang w:val="ms-MY"/>
              </w:rPr>
              <w:t xml:space="preserve">th – 19th </w:t>
            </w:r>
            <w:proofErr w:type="spellStart"/>
            <w:r w:rsidR="00A77939" w:rsidRPr="00C86286">
              <w:rPr>
                <w:lang w:val="ms-MY"/>
              </w:rPr>
              <w:t>July</w:t>
            </w:r>
            <w:proofErr w:type="spellEnd"/>
            <w:r w:rsidRPr="00C86286">
              <w:rPr>
                <w:lang w:val="ms-MY"/>
              </w:rPr>
              <w:t xml:space="preserve"> </w:t>
            </w:r>
            <w:r w:rsidR="003F7664" w:rsidRPr="00C86286">
              <w:rPr>
                <w:lang w:val="ms-MY"/>
              </w:rPr>
              <w:t xml:space="preserve">2023 </w:t>
            </w:r>
          </w:p>
        </w:tc>
      </w:tr>
      <w:tr w:rsidR="001635BA" w:rsidRPr="00EA0172" w14:paraId="2CDCE1EB" w14:textId="77777777" w:rsidTr="00AF2B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621D" w14:textId="4B2C2F3B" w:rsidR="00026EA7" w:rsidRPr="00C86286" w:rsidRDefault="00026EA7" w:rsidP="002578FC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lang w:val="ms-MY"/>
              </w:rPr>
            </w:pPr>
            <w:r w:rsidRPr="00C86286">
              <w:rPr>
                <w:lang w:val="ms-MY"/>
              </w:rPr>
              <w:t xml:space="preserve">In </w:t>
            </w:r>
            <w:proofErr w:type="spellStart"/>
            <w:r w:rsidRPr="00C86286">
              <w:rPr>
                <w:lang w:val="ms-MY"/>
              </w:rPr>
              <w:t>accordance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with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Cabinet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decision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on</w:t>
            </w:r>
            <w:proofErr w:type="spellEnd"/>
            <w:r w:rsidRPr="00C86286">
              <w:rPr>
                <w:lang w:val="ms-MY"/>
              </w:rPr>
              <w:t xml:space="preserve"> April 27, 2022, Malaysia has </w:t>
            </w:r>
            <w:proofErr w:type="spellStart"/>
            <w:r w:rsidRPr="00C86286">
              <w:rPr>
                <w:lang w:val="ms-MY"/>
              </w:rPr>
              <w:t>officially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joined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Indo-Pacific </w:t>
            </w:r>
            <w:proofErr w:type="spellStart"/>
            <w:r w:rsidRPr="00C86286">
              <w:rPr>
                <w:lang w:val="ms-MY"/>
              </w:rPr>
              <w:t>Economic</w:t>
            </w:r>
            <w:proofErr w:type="spellEnd"/>
            <w:r w:rsidRPr="00C86286">
              <w:rPr>
                <w:lang w:val="ms-MY"/>
              </w:rPr>
              <w:t xml:space="preserve"> Framework (IPEF) </w:t>
            </w:r>
            <w:proofErr w:type="spellStart"/>
            <w:r w:rsidRPr="00C86286">
              <w:rPr>
                <w:lang w:val="ms-MY"/>
              </w:rPr>
              <w:t>initiative</w:t>
            </w:r>
            <w:proofErr w:type="spellEnd"/>
            <w:r w:rsidRPr="00C86286">
              <w:rPr>
                <w:lang w:val="ms-MY"/>
              </w:rPr>
              <w:t xml:space="preserve">.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Ministry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of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Investment</w:t>
            </w:r>
            <w:proofErr w:type="spellEnd"/>
            <w:r w:rsidRPr="00C86286">
              <w:rPr>
                <w:lang w:val="ms-MY"/>
              </w:rPr>
              <w:t xml:space="preserve">, </w:t>
            </w:r>
            <w:proofErr w:type="spellStart"/>
            <w:r w:rsidRPr="00C86286">
              <w:rPr>
                <w:lang w:val="ms-MY"/>
              </w:rPr>
              <w:t>Trade</w:t>
            </w:r>
            <w:proofErr w:type="spellEnd"/>
            <w:r w:rsidRPr="00C86286">
              <w:rPr>
                <w:lang w:val="ms-MY"/>
              </w:rPr>
              <w:t xml:space="preserve">, and Industry (MITI) has </w:t>
            </w:r>
            <w:proofErr w:type="spellStart"/>
            <w:r w:rsidRPr="00C86286">
              <w:rPr>
                <w:lang w:val="ms-MY"/>
              </w:rPr>
              <w:t>been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appointed</w:t>
            </w:r>
            <w:proofErr w:type="spellEnd"/>
            <w:r w:rsidRPr="00C86286">
              <w:rPr>
                <w:lang w:val="ms-MY"/>
              </w:rPr>
              <w:t xml:space="preserve"> as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national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coordinator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for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IPEF </w:t>
            </w:r>
            <w:proofErr w:type="spellStart"/>
            <w:r w:rsidRPr="00C86286">
              <w:rPr>
                <w:lang w:val="ms-MY"/>
              </w:rPr>
              <w:t>negotiation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process</w:t>
            </w:r>
            <w:proofErr w:type="spellEnd"/>
            <w:r w:rsidRPr="00C86286">
              <w:rPr>
                <w:lang w:val="ms-MY"/>
              </w:rPr>
              <w:t xml:space="preserve">. </w:t>
            </w:r>
            <w:proofErr w:type="spellStart"/>
            <w:r w:rsidRPr="00C86286">
              <w:rPr>
                <w:lang w:val="ms-MY"/>
              </w:rPr>
              <w:t>Furthermore</w:t>
            </w:r>
            <w:proofErr w:type="spellEnd"/>
            <w:r w:rsidRPr="00C86286">
              <w:rPr>
                <w:lang w:val="ms-MY"/>
              </w:rPr>
              <w:t xml:space="preserve">, MITI has </w:t>
            </w:r>
            <w:proofErr w:type="spellStart"/>
            <w:r w:rsidRPr="00C86286">
              <w:rPr>
                <w:lang w:val="ms-MY"/>
              </w:rPr>
              <w:t>designated</w:t>
            </w:r>
            <w:proofErr w:type="spellEnd"/>
            <w:r w:rsidRPr="00C86286">
              <w:rPr>
                <w:lang w:val="ms-MY"/>
              </w:rPr>
              <w:t xml:space="preserve"> MPC as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Lead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negotiator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for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Good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Regulatory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Practice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Chapter</w:t>
            </w:r>
            <w:proofErr w:type="spellEnd"/>
            <w:r w:rsidR="00AD3043" w:rsidRPr="00C86286">
              <w:rPr>
                <w:lang w:val="ms-MY"/>
              </w:rPr>
              <w:t xml:space="preserve"> (</w:t>
            </w:r>
            <w:proofErr w:type="spellStart"/>
            <w:r w:rsidR="00AD3043" w:rsidRPr="00C86286">
              <w:rPr>
                <w:lang w:val="ms-MY"/>
              </w:rPr>
              <w:t>Appendix</w:t>
            </w:r>
            <w:proofErr w:type="spellEnd"/>
            <w:r w:rsidR="00AD3043" w:rsidRPr="00C86286">
              <w:rPr>
                <w:lang w:val="ms-MY"/>
              </w:rPr>
              <w:t xml:space="preserve"> 1)</w:t>
            </w:r>
            <w:r w:rsidRPr="00C86286">
              <w:rPr>
                <w:lang w:val="ms-MY"/>
              </w:rPr>
              <w:t>.</w:t>
            </w:r>
          </w:p>
          <w:p w14:paraId="50E99D23" w14:textId="77777777" w:rsidR="00026EA7" w:rsidRPr="00C86286" w:rsidRDefault="00026EA7" w:rsidP="002578FC">
            <w:pPr>
              <w:pStyle w:val="ListParagraph"/>
              <w:spacing w:before="120" w:after="120" w:line="276" w:lineRule="auto"/>
              <w:ind w:left="360"/>
              <w:jc w:val="both"/>
              <w:rPr>
                <w:lang w:val="ms-MY"/>
              </w:rPr>
            </w:pPr>
          </w:p>
          <w:p w14:paraId="29A845C0" w14:textId="77777777" w:rsidR="00DD2AB9" w:rsidRDefault="00026EA7" w:rsidP="009462EE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ms-MY"/>
              </w:rPr>
            </w:pPr>
            <w:r w:rsidRPr="00C86286">
              <w:rPr>
                <w:lang w:val="ms-MY"/>
              </w:rPr>
              <w:t xml:space="preserve">As </w:t>
            </w:r>
            <w:proofErr w:type="spellStart"/>
            <w:r w:rsidRPr="00C86286">
              <w:rPr>
                <w:lang w:val="ms-MY"/>
              </w:rPr>
              <w:t>part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of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capacity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building</w:t>
            </w:r>
            <w:proofErr w:type="spellEnd"/>
            <w:r w:rsidRPr="00C86286">
              <w:rPr>
                <w:lang w:val="ms-MY"/>
              </w:rPr>
              <w:t xml:space="preserve"> and </w:t>
            </w:r>
            <w:proofErr w:type="spellStart"/>
            <w:r w:rsidRPr="00C86286">
              <w:rPr>
                <w:lang w:val="ms-MY"/>
              </w:rPr>
              <w:t>knowledge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exchange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for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regulatory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reform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programs</w:t>
            </w:r>
            <w:proofErr w:type="spellEnd"/>
            <w:r w:rsidRPr="00C86286">
              <w:rPr>
                <w:lang w:val="ms-MY"/>
              </w:rPr>
              <w:t xml:space="preserve">, a Malaysian </w:t>
            </w:r>
            <w:proofErr w:type="spellStart"/>
            <w:r w:rsidRPr="00C86286">
              <w:rPr>
                <w:lang w:val="ms-MY"/>
              </w:rPr>
              <w:t>delegation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will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be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organi</w:t>
            </w:r>
            <w:r w:rsidR="0071473F" w:rsidRPr="00C86286">
              <w:rPr>
                <w:lang w:val="ms-MY"/>
              </w:rPr>
              <w:t>s</w:t>
            </w:r>
            <w:r w:rsidRPr="00C86286">
              <w:rPr>
                <w:lang w:val="ms-MY"/>
              </w:rPr>
              <w:t>ing</w:t>
            </w:r>
            <w:proofErr w:type="spellEnd"/>
            <w:r w:rsidRPr="00C86286">
              <w:rPr>
                <w:lang w:val="ms-MY"/>
              </w:rPr>
              <w:t xml:space="preserve"> a </w:t>
            </w:r>
            <w:proofErr w:type="spellStart"/>
            <w:r w:rsidRPr="00C86286">
              <w:rPr>
                <w:lang w:val="ms-MY"/>
              </w:rPr>
              <w:t>benchmarking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session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with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Republic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of</w:t>
            </w:r>
            <w:proofErr w:type="spellEnd"/>
            <w:r w:rsidRPr="00C86286">
              <w:rPr>
                <w:lang w:val="ms-MY"/>
              </w:rPr>
              <w:t xml:space="preserve"> Korea. </w:t>
            </w:r>
            <w:proofErr w:type="spellStart"/>
            <w:r w:rsidRPr="00C86286">
              <w:rPr>
                <w:lang w:val="ms-MY"/>
              </w:rPr>
              <w:t>This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includes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meetings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with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South</w:t>
            </w:r>
            <w:proofErr w:type="spellEnd"/>
            <w:r w:rsidRPr="00C86286">
              <w:rPr>
                <w:lang w:val="ms-MY"/>
              </w:rPr>
              <w:t xml:space="preserve"> Korea Office </w:t>
            </w:r>
            <w:proofErr w:type="spellStart"/>
            <w:r w:rsidRPr="00C86286">
              <w:rPr>
                <w:lang w:val="ms-MY"/>
              </w:rPr>
              <w:t>of</w:t>
            </w:r>
            <w:proofErr w:type="spellEnd"/>
            <w:r w:rsidRPr="00C86286">
              <w:rPr>
                <w:lang w:val="ms-MY"/>
              </w:rPr>
              <w:t xml:space="preserve"> Legal </w:t>
            </w:r>
            <w:proofErr w:type="spellStart"/>
            <w:r w:rsidRPr="00C86286">
              <w:rPr>
                <w:lang w:val="ms-MY"/>
              </w:rPr>
              <w:t>Counsel</w:t>
            </w:r>
            <w:proofErr w:type="spellEnd"/>
            <w:r w:rsidRPr="00C86286">
              <w:rPr>
                <w:lang w:val="ms-MY"/>
              </w:rPr>
              <w:t xml:space="preserve">, </w:t>
            </w:r>
            <w:proofErr w:type="spellStart"/>
            <w:r w:rsidRPr="00C86286">
              <w:rPr>
                <w:lang w:val="ms-MY"/>
              </w:rPr>
              <w:t>Ministry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of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Justice</w:t>
            </w:r>
            <w:proofErr w:type="spellEnd"/>
            <w:r w:rsidRPr="00C86286">
              <w:rPr>
                <w:lang w:val="ms-MY"/>
              </w:rPr>
              <w:t xml:space="preserve">,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Regulatory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Reform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Committee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under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Office </w:t>
            </w:r>
            <w:proofErr w:type="spellStart"/>
            <w:r w:rsidRPr="00C86286">
              <w:rPr>
                <w:lang w:val="ms-MY"/>
              </w:rPr>
              <w:t>for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Government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Policy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Coordination</w:t>
            </w:r>
            <w:proofErr w:type="spellEnd"/>
            <w:r w:rsidRPr="00C86286">
              <w:rPr>
                <w:lang w:val="ms-MY"/>
              </w:rPr>
              <w:t xml:space="preserve">, </w:t>
            </w:r>
            <w:proofErr w:type="spellStart"/>
            <w:r w:rsidRPr="00C86286">
              <w:rPr>
                <w:lang w:val="ms-MY"/>
              </w:rPr>
              <w:t>Prime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Minister's</w:t>
            </w:r>
            <w:proofErr w:type="spellEnd"/>
            <w:r w:rsidRPr="00C86286">
              <w:rPr>
                <w:lang w:val="ms-MY"/>
              </w:rPr>
              <w:t xml:space="preserve"> Secretariat. </w:t>
            </w:r>
            <w:proofErr w:type="spellStart"/>
            <w:r w:rsidR="0062593E" w:rsidRPr="00C86286">
              <w:rPr>
                <w:lang w:val="ms-MY"/>
              </w:rPr>
              <w:t>The</w:t>
            </w:r>
            <w:proofErr w:type="spellEnd"/>
            <w:r w:rsidR="0062593E" w:rsidRPr="00C86286">
              <w:rPr>
                <w:lang w:val="ms-MY"/>
              </w:rPr>
              <w:t xml:space="preserve"> </w:t>
            </w:r>
            <w:proofErr w:type="spellStart"/>
            <w:r w:rsidR="0036120A" w:rsidRPr="00C86286">
              <w:rPr>
                <w:lang w:val="ms-MY"/>
              </w:rPr>
              <w:t>Planning</w:t>
            </w:r>
            <w:proofErr w:type="spellEnd"/>
            <w:r w:rsidR="0036120A" w:rsidRPr="00C86286">
              <w:rPr>
                <w:lang w:val="ms-MY"/>
              </w:rPr>
              <w:t xml:space="preserve"> and</w:t>
            </w:r>
            <w:r w:rsidR="0062593E" w:rsidRPr="00C86286">
              <w:rPr>
                <w:lang w:val="ms-MY"/>
              </w:rPr>
              <w:t xml:space="preserve"> </w:t>
            </w:r>
            <w:proofErr w:type="spellStart"/>
            <w:r w:rsidR="0036120A" w:rsidRPr="00C86286">
              <w:rPr>
                <w:lang w:val="ms-MY"/>
              </w:rPr>
              <w:t>Coordination</w:t>
            </w:r>
            <w:proofErr w:type="spellEnd"/>
            <w:r w:rsidR="0036120A" w:rsidRPr="00C86286">
              <w:rPr>
                <w:lang w:val="ms-MY"/>
              </w:rPr>
              <w:t xml:space="preserve"> Office</w:t>
            </w:r>
            <w:r w:rsidR="0062593E" w:rsidRPr="00C86286">
              <w:rPr>
                <w:lang w:val="ms-MY"/>
              </w:rPr>
              <w:t xml:space="preserve"> (</w:t>
            </w:r>
            <w:proofErr w:type="spellStart"/>
            <w:r w:rsidR="0062593E" w:rsidRPr="00C86286">
              <w:rPr>
                <w:lang w:val="ms-MY"/>
              </w:rPr>
              <w:t>Regulatory</w:t>
            </w:r>
            <w:proofErr w:type="spellEnd"/>
            <w:r w:rsidR="0062593E" w:rsidRPr="00C86286">
              <w:rPr>
                <w:lang w:val="ms-MY"/>
              </w:rPr>
              <w:t xml:space="preserve"> </w:t>
            </w:r>
            <w:proofErr w:type="spellStart"/>
            <w:r w:rsidR="0062593E" w:rsidRPr="00C86286">
              <w:rPr>
                <w:lang w:val="ms-MY"/>
              </w:rPr>
              <w:t>Reform</w:t>
            </w:r>
            <w:proofErr w:type="spellEnd"/>
            <w:r w:rsidR="0062593E" w:rsidRPr="00C86286">
              <w:rPr>
                <w:lang w:val="ms-MY"/>
              </w:rPr>
              <w:t>)</w:t>
            </w:r>
            <w:r w:rsidR="00841D92" w:rsidRPr="00C86286">
              <w:rPr>
                <w:lang w:val="ms-MY"/>
              </w:rPr>
              <w:t xml:space="preserve">, </w:t>
            </w:r>
            <w:proofErr w:type="spellStart"/>
            <w:r w:rsidR="00841D92" w:rsidRPr="00C86286">
              <w:rPr>
                <w:lang w:val="ms-MY"/>
              </w:rPr>
              <w:t>Ministry</w:t>
            </w:r>
            <w:proofErr w:type="spellEnd"/>
            <w:r w:rsidR="00841D92" w:rsidRPr="00C86286">
              <w:rPr>
                <w:lang w:val="ms-MY"/>
              </w:rPr>
              <w:t xml:space="preserve"> </w:t>
            </w:r>
            <w:proofErr w:type="spellStart"/>
            <w:r w:rsidR="00841D92" w:rsidRPr="00C86286">
              <w:rPr>
                <w:lang w:val="ms-MY"/>
              </w:rPr>
              <w:t>of</w:t>
            </w:r>
            <w:proofErr w:type="spellEnd"/>
            <w:r w:rsidR="00841D92" w:rsidRPr="00C86286">
              <w:rPr>
                <w:lang w:val="ms-MY"/>
              </w:rPr>
              <w:t xml:space="preserve"> </w:t>
            </w:r>
            <w:proofErr w:type="spellStart"/>
            <w:r w:rsidR="00841D92" w:rsidRPr="00C86286">
              <w:rPr>
                <w:lang w:val="ms-MY"/>
              </w:rPr>
              <w:t>Land</w:t>
            </w:r>
            <w:proofErr w:type="spellEnd"/>
            <w:r w:rsidR="00841D92" w:rsidRPr="00C86286">
              <w:rPr>
                <w:lang w:val="ms-MY"/>
              </w:rPr>
              <w:t xml:space="preserve">, </w:t>
            </w:r>
            <w:proofErr w:type="spellStart"/>
            <w:r w:rsidR="00841D92" w:rsidRPr="00C86286">
              <w:rPr>
                <w:lang w:val="ms-MY"/>
              </w:rPr>
              <w:t>Infrastructure</w:t>
            </w:r>
            <w:proofErr w:type="spellEnd"/>
            <w:r w:rsidR="00841D92" w:rsidRPr="00C86286">
              <w:rPr>
                <w:lang w:val="ms-MY"/>
              </w:rPr>
              <w:t xml:space="preserve"> and </w:t>
            </w:r>
            <w:proofErr w:type="spellStart"/>
            <w:r w:rsidR="00841D92" w:rsidRPr="00C86286">
              <w:rPr>
                <w:lang w:val="ms-MY"/>
              </w:rPr>
              <w:t>Transport</w:t>
            </w:r>
            <w:proofErr w:type="spellEnd"/>
            <w:r w:rsidR="00841D92" w:rsidRPr="00C86286">
              <w:rPr>
                <w:lang w:val="ms-MY"/>
              </w:rPr>
              <w:t xml:space="preserve">.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purpose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of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this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engagement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is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to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learn</w:t>
            </w:r>
            <w:proofErr w:type="spellEnd"/>
            <w:r w:rsidRPr="00C86286">
              <w:rPr>
                <w:lang w:val="ms-MY"/>
              </w:rPr>
              <w:t xml:space="preserve"> and </w:t>
            </w:r>
            <w:proofErr w:type="spellStart"/>
            <w:r w:rsidRPr="00C86286">
              <w:rPr>
                <w:lang w:val="ms-MY"/>
              </w:rPr>
              <w:t>exchange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best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practices</w:t>
            </w:r>
            <w:proofErr w:type="spellEnd"/>
            <w:r w:rsidRPr="00C86286">
              <w:rPr>
                <w:lang w:val="ms-MY"/>
              </w:rPr>
              <w:t xml:space="preserve"> and </w:t>
            </w:r>
            <w:proofErr w:type="spellStart"/>
            <w:r w:rsidRPr="00C86286">
              <w:rPr>
                <w:lang w:val="ms-MY"/>
              </w:rPr>
              <w:t>perspectives</w:t>
            </w:r>
            <w:proofErr w:type="spellEnd"/>
            <w:r w:rsidRPr="00C86286">
              <w:rPr>
                <w:lang w:val="ms-MY"/>
              </w:rPr>
              <w:t>.</w:t>
            </w:r>
            <w:r w:rsidR="00E34613" w:rsidRPr="00C86286">
              <w:rPr>
                <w:lang w:val="ms-MY"/>
              </w:rPr>
              <w:t xml:space="preserve"> </w:t>
            </w:r>
            <w:proofErr w:type="spellStart"/>
            <w:r w:rsidR="00E34613" w:rsidRPr="00C86286">
              <w:rPr>
                <w:lang w:val="ms-MY"/>
              </w:rPr>
              <w:t>Details</w:t>
            </w:r>
            <w:proofErr w:type="spellEnd"/>
            <w:r w:rsidR="00E34613" w:rsidRPr="00C86286">
              <w:rPr>
                <w:lang w:val="ms-MY"/>
              </w:rPr>
              <w:t xml:space="preserve"> </w:t>
            </w:r>
            <w:proofErr w:type="spellStart"/>
            <w:r w:rsidR="00E34613" w:rsidRPr="00C86286">
              <w:rPr>
                <w:lang w:val="ms-MY"/>
              </w:rPr>
              <w:t>itinerary</w:t>
            </w:r>
            <w:proofErr w:type="spellEnd"/>
            <w:r w:rsidR="00E34613" w:rsidRPr="00C86286">
              <w:rPr>
                <w:lang w:val="ms-MY"/>
              </w:rPr>
              <w:t xml:space="preserve"> as per </w:t>
            </w:r>
            <w:proofErr w:type="spellStart"/>
            <w:r w:rsidR="00E34613" w:rsidRPr="00C86286">
              <w:rPr>
                <w:lang w:val="ms-MY"/>
              </w:rPr>
              <w:t>Appendix</w:t>
            </w:r>
            <w:proofErr w:type="spellEnd"/>
            <w:r w:rsidR="00E34613" w:rsidRPr="00C86286">
              <w:rPr>
                <w:lang w:val="ms-MY"/>
              </w:rPr>
              <w:t xml:space="preserve"> 2.</w:t>
            </w:r>
          </w:p>
          <w:p w14:paraId="3788A44D" w14:textId="77777777" w:rsidR="009462EE" w:rsidRPr="009462EE" w:rsidRDefault="009462EE" w:rsidP="009462EE">
            <w:pPr>
              <w:pStyle w:val="ListParagraph"/>
              <w:rPr>
                <w:lang w:val="ms-MY"/>
              </w:rPr>
            </w:pPr>
          </w:p>
          <w:p w14:paraId="31DE0119" w14:textId="58C0E8B7" w:rsidR="009462EE" w:rsidRPr="009462EE" w:rsidRDefault="009462EE" w:rsidP="009462EE">
            <w:pPr>
              <w:pStyle w:val="ListParagraph"/>
              <w:ind w:left="360"/>
              <w:jc w:val="both"/>
              <w:rPr>
                <w:lang w:val="ms-MY"/>
              </w:rPr>
            </w:pPr>
          </w:p>
        </w:tc>
      </w:tr>
      <w:tr w:rsidR="00501DD9" w:rsidRPr="00EA0172" w14:paraId="3EC54631" w14:textId="77777777" w:rsidTr="00AF2B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F2C7" w14:textId="77777777" w:rsidR="00191108" w:rsidRDefault="00191108" w:rsidP="00191108">
            <w:pPr>
              <w:pStyle w:val="ListParagraph"/>
              <w:numPr>
                <w:ilvl w:val="0"/>
                <w:numId w:val="9"/>
              </w:numPr>
              <w:spacing w:before="120" w:after="120" w:line="276" w:lineRule="auto"/>
              <w:jc w:val="both"/>
              <w:rPr>
                <w:lang w:val="ms-MY"/>
              </w:rPr>
            </w:pPr>
            <w:proofErr w:type="spellStart"/>
            <w:r w:rsidRPr="00C86286">
              <w:rPr>
                <w:lang w:val="ms-MY"/>
              </w:rPr>
              <w:t>Regulatory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provisions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have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gained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prominence</w:t>
            </w:r>
            <w:proofErr w:type="spellEnd"/>
            <w:r w:rsidRPr="00C86286">
              <w:rPr>
                <w:lang w:val="ms-MY"/>
              </w:rPr>
              <w:t xml:space="preserve"> in </w:t>
            </w:r>
            <w:proofErr w:type="spellStart"/>
            <w:r w:rsidRPr="00C86286">
              <w:rPr>
                <w:lang w:val="ms-MY"/>
              </w:rPr>
              <w:t>recent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regional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trade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agreements</w:t>
            </w:r>
            <w:proofErr w:type="spellEnd"/>
            <w:r w:rsidRPr="00C86286">
              <w:rPr>
                <w:lang w:val="ms-MY"/>
              </w:rPr>
              <w:t xml:space="preserve"> (</w:t>
            </w:r>
            <w:proofErr w:type="spellStart"/>
            <w:r w:rsidRPr="00C86286">
              <w:rPr>
                <w:lang w:val="ms-MY"/>
              </w:rPr>
              <w:t>RTAs</w:t>
            </w:r>
            <w:proofErr w:type="spellEnd"/>
            <w:r w:rsidRPr="00C86286">
              <w:rPr>
                <w:lang w:val="ms-MY"/>
              </w:rPr>
              <w:t xml:space="preserve">), </w:t>
            </w:r>
            <w:proofErr w:type="spellStart"/>
            <w:r w:rsidRPr="00C86286">
              <w:rPr>
                <w:lang w:val="ms-MY"/>
              </w:rPr>
              <w:t>reflecting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their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growing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importance</w:t>
            </w:r>
            <w:proofErr w:type="spellEnd"/>
            <w:r w:rsidRPr="00C86286">
              <w:rPr>
                <w:lang w:val="ms-MY"/>
              </w:rPr>
              <w:t xml:space="preserve">. MPC </w:t>
            </w:r>
            <w:proofErr w:type="spellStart"/>
            <w:r w:rsidRPr="00C86286">
              <w:rPr>
                <w:lang w:val="ms-MY"/>
              </w:rPr>
              <w:t>assumes</w:t>
            </w:r>
            <w:proofErr w:type="spellEnd"/>
            <w:r w:rsidRPr="00C86286">
              <w:rPr>
                <w:lang w:val="ms-MY"/>
              </w:rPr>
              <w:t xml:space="preserve"> a </w:t>
            </w:r>
            <w:proofErr w:type="spellStart"/>
            <w:r w:rsidRPr="00C86286">
              <w:rPr>
                <w:lang w:val="ms-MY"/>
              </w:rPr>
              <w:t>pivotal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role</w:t>
            </w:r>
            <w:proofErr w:type="spellEnd"/>
            <w:r w:rsidRPr="00C86286">
              <w:rPr>
                <w:lang w:val="ms-MY"/>
              </w:rPr>
              <w:t xml:space="preserve"> as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lead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regulatory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oversight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body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entrusted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with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overseeing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implementation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of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National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Policy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on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Good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Regulatory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Practice</w:t>
            </w:r>
            <w:proofErr w:type="spellEnd"/>
            <w:r w:rsidRPr="00C86286">
              <w:rPr>
                <w:lang w:val="ms-MY"/>
              </w:rPr>
              <w:t xml:space="preserve"> (NPGRP).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GRP </w:t>
            </w:r>
            <w:proofErr w:type="spellStart"/>
            <w:r w:rsidRPr="00C86286">
              <w:rPr>
                <w:lang w:val="ms-MY"/>
              </w:rPr>
              <w:t>Chapter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under</w:t>
            </w:r>
            <w:proofErr w:type="spellEnd"/>
            <w:r w:rsidRPr="00C86286">
              <w:rPr>
                <w:lang w:val="ms-MY"/>
              </w:rPr>
              <w:t xml:space="preserve"> IPEF </w:t>
            </w:r>
            <w:proofErr w:type="spellStart"/>
            <w:r w:rsidRPr="00C86286">
              <w:rPr>
                <w:lang w:val="ms-MY"/>
              </w:rPr>
              <w:t>Pillar</w:t>
            </w:r>
            <w:proofErr w:type="spellEnd"/>
            <w:r w:rsidRPr="00C86286">
              <w:rPr>
                <w:lang w:val="ms-MY"/>
              </w:rPr>
              <w:t xml:space="preserve"> 1 </w:t>
            </w:r>
            <w:proofErr w:type="spellStart"/>
            <w:r w:rsidRPr="00C86286">
              <w:rPr>
                <w:lang w:val="ms-MY"/>
              </w:rPr>
              <w:t>holds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significant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relevance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for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MPC, </w:t>
            </w:r>
            <w:proofErr w:type="spellStart"/>
            <w:r w:rsidRPr="00C86286">
              <w:rPr>
                <w:lang w:val="ms-MY"/>
              </w:rPr>
              <w:t>serving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to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position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its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function</w:t>
            </w:r>
            <w:proofErr w:type="spellEnd"/>
            <w:r w:rsidRPr="00C86286">
              <w:rPr>
                <w:lang w:val="ms-MY"/>
              </w:rPr>
              <w:t xml:space="preserve"> and </w:t>
            </w:r>
            <w:proofErr w:type="spellStart"/>
            <w:r w:rsidRPr="00C86286">
              <w:rPr>
                <w:lang w:val="ms-MY"/>
              </w:rPr>
              <w:t>interests</w:t>
            </w:r>
            <w:proofErr w:type="spellEnd"/>
            <w:r w:rsidRPr="00C86286">
              <w:rPr>
                <w:lang w:val="ms-MY"/>
              </w:rPr>
              <w:t xml:space="preserve">, </w:t>
            </w:r>
            <w:proofErr w:type="spellStart"/>
            <w:r w:rsidRPr="00C86286">
              <w:rPr>
                <w:lang w:val="ms-MY"/>
              </w:rPr>
              <w:t>while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also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safeguarding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Malaysia's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sovereignty</w:t>
            </w:r>
            <w:proofErr w:type="spellEnd"/>
            <w:r w:rsidRPr="00C86286">
              <w:rPr>
                <w:lang w:val="ms-MY"/>
              </w:rPr>
              <w:t>.</w:t>
            </w:r>
          </w:p>
          <w:p w14:paraId="67E50041" w14:textId="77777777" w:rsidR="00C86286" w:rsidRPr="00C86286" w:rsidRDefault="00C86286" w:rsidP="00C86286">
            <w:pPr>
              <w:pStyle w:val="ListParagraph"/>
              <w:spacing w:before="120" w:after="120" w:line="276" w:lineRule="auto"/>
              <w:ind w:left="360"/>
              <w:jc w:val="both"/>
              <w:rPr>
                <w:lang w:val="ms-MY"/>
              </w:rPr>
            </w:pPr>
          </w:p>
          <w:p w14:paraId="40522EEA" w14:textId="77777777" w:rsidR="00760A39" w:rsidRPr="00C86286" w:rsidRDefault="00191108" w:rsidP="00191108">
            <w:pPr>
              <w:pStyle w:val="ListParagraph"/>
              <w:numPr>
                <w:ilvl w:val="0"/>
                <w:numId w:val="9"/>
              </w:numPr>
              <w:spacing w:before="120" w:after="120" w:line="276" w:lineRule="auto"/>
              <w:jc w:val="both"/>
              <w:rPr>
                <w:lang w:val="ms-MY"/>
              </w:rPr>
            </w:pP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successful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conclusion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of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GRP </w:t>
            </w:r>
            <w:proofErr w:type="spellStart"/>
            <w:r w:rsidRPr="00C86286">
              <w:rPr>
                <w:lang w:val="ms-MY"/>
              </w:rPr>
              <w:t>chapter</w:t>
            </w:r>
            <w:proofErr w:type="spellEnd"/>
            <w:r w:rsidRPr="00C86286">
              <w:rPr>
                <w:lang w:val="ms-MY"/>
              </w:rPr>
              <w:t xml:space="preserve">, in </w:t>
            </w:r>
            <w:proofErr w:type="spellStart"/>
            <w:r w:rsidRPr="00C86286">
              <w:rPr>
                <w:lang w:val="ms-MY"/>
              </w:rPr>
              <w:t>alignment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with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Malaysia's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adoption</w:t>
            </w:r>
            <w:proofErr w:type="spellEnd"/>
            <w:r w:rsidRPr="00C86286">
              <w:rPr>
                <w:lang w:val="ms-MY"/>
              </w:rPr>
              <w:t xml:space="preserve"> and </w:t>
            </w:r>
            <w:proofErr w:type="spellStart"/>
            <w:r w:rsidRPr="00C86286">
              <w:rPr>
                <w:lang w:val="ms-MY"/>
              </w:rPr>
              <w:t>level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of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readiness</w:t>
            </w:r>
            <w:proofErr w:type="spellEnd"/>
            <w:r w:rsidRPr="00C86286">
              <w:rPr>
                <w:lang w:val="ms-MY"/>
              </w:rPr>
              <w:t xml:space="preserve"> in </w:t>
            </w:r>
            <w:proofErr w:type="spellStart"/>
            <w:r w:rsidRPr="00C86286">
              <w:rPr>
                <w:lang w:val="ms-MY"/>
              </w:rPr>
              <w:lastRenderedPageBreak/>
              <w:t>implementing</w:t>
            </w:r>
            <w:proofErr w:type="spellEnd"/>
            <w:r w:rsidRPr="00C86286">
              <w:rPr>
                <w:lang w:val="ms-MY"/>
              </w:rPr>
              <w:t xml:space="preserve"> GRP </w:t>
            </w:r>
            <w:proofErr w:type="spellStart"/>
            <w:r w:rsidRPr="00C86286">
              <w:rPr>
                <w:lang w:val="ms-MY"/>
              </w:rPr>
              <w:t>principles</w:t>
            </w:r>
            <w:proofErr w:type="spellEnd"/>
            <w:r w:rsidRPr="00C86286">
              <w:rPr>
                <w:lang w:val="ms-MY"/>
              </w:rPr>
              <w:t xml:space="preserve">, can </w:t>
            </w:r>
            <w:proofErr w:type="spellStart"/>
            <w:r w:rsidRPr="00C86286">
              <w:rPr>
                <w:lang w:val="ms-MY"/>
              </w:rPr>
              <w:t>establish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an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enabling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regulatory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environment</w:t>
            </w:r>
            <w:proofErr w:type="spellEnd"/>
            <w:r w:rsidRPr="00C86286">
              <w:rPr>
                <w:lang w:val="ms-MY"/>
              </w:rPr>
              <w:t xml:space="preserve">. </w:t>
            </w:r>
            <w:proofErr w:type="spellStart"/>
            <w:r w:rsidRPr="00C86286">
              <w:rPr>
                <w:lang w:val="ms-MY"/>
              </w:rPr>
              <w:t>This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environment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would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foster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sustainable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economic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growth</w:t>
            </w:r>
            <w:proofErr w:type="spellEnd"/>
            <w:r w:rsidRPr="00C86286">
              <w:rPr>
                <w:lang w:val="ms-MY"/>
              </w:rPr>
              <w:t xml:space="preserve"> and </w:t>
            </w:r>
            <w:proofErr w:type="spellStart"/>
            <w:r w:rsidRPr="00C86286">
              <w:rPr>
                <w:lang w:val="ms-MY"/>
              </w:rPr>
              <w:t>facilitate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mutually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beneficial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trade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relations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among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participating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countries</w:t>
            </w:r>
            <w:proofErr w:type="spellEnd"/>
            <w:r w:rsidRPr="00C86286">
              <w:rPr>
                <w:lang w:val="ms-MY"/>
              </w:rPr>
              <w:t>.</w:t>
            </w:r>
          </w:p>
          <w:p w14:paraId="08999CFC" w14:textId="77777777" w:rsidR="0071473F" w:rsidRPr="00C86286" w:rsidRDefault="0071473F" w:rsidP="00703195">
            <w:pPr>
              <w:pStyle w:val="ListParagraph"/>
              <w:spacing w:before="120" w:after="120" w:line="276" w:lineRule="auto"/>
              <w:ind w:left="360"/>
              <w:jc w:val="both"/>
              <w:rPr>
                <w:lang w:val="ms-MY"/>
              </w:rPr>
            </w:pPr>
          </w:p>
          <w:p w14:paraId="082823DA" w14:textId="13ADB0DA" w:rsidR="0071473F" w:rsidRPr="00C86286" w:rsidRDefault="0071473F" w:rsidP="0071473F">
            <w:pPr>
              <w:pStyle w:val="ListParagraph"/>
              <w:numPr>
                <w:ilvl w:val="0"/>
                <w:numId w:val="9"/>
              </w:numPr>
              <w:spacing w:before="120" w:after="120" w:line="276" w:lineRule="auto"/>
              <w:jc w:val="both"/>
              <w:rPr>
                <w:lang w:val="ms-MY"/>
              </w:rPr>
            </w:pPr>
            <w:r w:rsidRPr="00C86286">
              <w:rPr>
                <w:lang w:val="ms-MY"/>
              </w:rPr>
              <w:t xml:space="preserve">In </w:t>
            </w:r>
            <w:proofErr w:type="spellStart"/>
            <w:r w:rsidRPr="00C86286">
              <w:rPr>
                <w:lang w:val="ms-MY"/>
              </w:rPr>
              <w:t>order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to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enhance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capacity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building</w:t>
            </w:r>
            <w:proofErr w:type="spellEnd"/>
            <w:r w:rsidRPr="00C86286">
              <w:rPr>
                <w:lang w:val="ms-MY"/>
              </w:rPr>
              <w:t xml:space="preserve"> and </w:t>
            </w:r>
            <w:proofErr w:type="spellStart"/>
            <w:r w:rsidRPr="00C86286">
              <w:rPr>
                <w:lang w:val="ms-MY"/>
              </w:rPr>
              <w:t>facilitate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exchange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of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knowledge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on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regulatory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reform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programs</w:t>
            </w:r>
            <w:proofErr w:type="spellEnd"/>
            <w:r w:rsidRPr="00C86286">
              <w:rPr>
                <w:lang w:val="ms-MY"/>
              </w:rPr>
              <w:t xml:space="preserve">, a </w:t>
            </w:r>
            <w:proofErr w:type="spellStart"/>
            <w:r w:rsidRPr="00C86286">
              <w:rPr>
                <w:lang w:val="ms-MY"/>
              </w:rPr>
              <w:t>delegation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from</w:t>
            </w:r>
            <w:proofErr w:type="spellEnd"/>
            <w:r w:rsidRPr="00C86286">
              <w:rPr>
                <w:lang w:val="ms-MY"/>
              </w:rPr>
              <w:t xml:space="preserve"> Malaysia </w:t>
            </w:r>
            <w:proofErr w:type="spellStart"/>
            <w:r w:rsidRPr="00C86286">
              <w:rPr>
                <w:lang w:val="ms-MY"/>
              </w:rPr>
              <w:t>will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be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organi</w:t>
            </w:r>
            <w:r w:rsidR="00703195" w:rsidRPr="00C86286">
              <w:rPr>
                <w:lang w:val="ms-MY"/>
              </w:rPr>
              <w:t>s</w:t>
            </w:r>
            <w:r w:rsidRPr="00C86286">
              <w:rPr>
                <w:lang w:val="ms-MY"/>
              </w:rPr>
              <w:t>ing</w:t>
            </w:r>
            <w:proofErr w:type="spellEnd"/>
            <w:r w:rsidRPr="00C86286">
              <w:rPr>
                <w:lang w:val="ms-MY"/>
              </w:rPr>
              <w:t xml:space="preserve"> a </w:t>
            </w:r>
            <w:proofErr w:type="spellStart"/>
            <w:r w:rsidRPr="00C86286">
              <w:rPr>
                <w:lang w:val="ms-MY"/>
              </w:rPr>
              <w:t>benchmarking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session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with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Republic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of</w:t>
            </w:r>
            <w:proofErr w:type="spellEnd"/>
            <w:r w:rsidRPr="00C86286">
              <w:rPr>
                <w:lang w:val="ms-MY"/>
              </w:rPr>
              <w:t xml:space="preserve"> Korea. </w:t>
            </w:r>
            <w:proofErr w:type="spellStart"/>
            <w:r w:rsidRPr="00C86286">
              <w:rPr>
                <w:lang w:val="ms-MY"/>
              </w:rPr>
              <w:t>This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session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will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involve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meetings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with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key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institutions</w:t>
            </w:r>
            <w:proofErr w:type="spellEnd"/>
            <w:r w:rsidRPr="00C86286">
              <w:rPr>
                <w:lang w:val="ms-MY"/>
              </w:rPr>
              <w:t xml:space="preserve">, </w:t>
            </w:r>
            <w:proofErr w:type="spellStart"/>
            <w:r w:rsidRPr="00C86286">
              <w:rPr>
                <w:lang w:val="ms-MY"/>
              </w:rPr>
              <w:t>including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South</w:t>
            </w:r>
            <w:proofErr w:type="spellEnd"/>
            <w:r w:rsidRPr="00C86286">
              <w:rPr>
                <w:lang w:val="ms-MY"/>
              </w:rPr>
              <w:t xml:space="preserve"> Korea Office </w:t>
            </w:r>
            <w:proofErr w:type="spellStart"/>
            <w:r w:rsidRPr="00C86286">
              <w:rPr>
                <w:lang w:val="ms-MY"/>
              </w:rPr>
              <w:t>of</w:t>
            </w:r>
            <w:proofErr w:type="spellEnd"/>
            <w:r w:rsidRPr="00C86286">
              <w:rPr>
                <w:lang w:val="ms-MY"/>
              </w:rPr>
              <w:t xml:space="preserve"> Legal </w:t>
            </w:r>
            <w:proofErr w:type="spellStart"/>
            <w:r w:rsidRPr="00C86286">
              <w:rPr>
                <w:lang w:val="ms-MY"/>
              </w:rPr>
              <w:t>Counsel</w:t>
            </w:r>
            <w:proofErr w:type="spellEnd"/>
            <w:r w:rsidRPr="00C86286">
              <w:rPr>
                <w:lang w:val="ms-MY"/>
              </w:rPr>
              <w:t xml:space="preserve">, </w:t>
            </w:r>
            <w:proofErr w:type="spellStart"/>
            <w:r w:rsidRPr="00C86286">
              <w:rPr>
                <w:lang w:val="ms-MY"/>
              </w:rPr>
              <w:t>Ministry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of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Justice</w:t>
            </w:r>
            <w:proofErr w:type="spellEnd"/>
            <w:r w:rsidRPr="00C86286">
              <w:rPr>
                <w:lang w:val="ms-MY"/>
              </w:rPr>
              <w:t xml:space="preserve">, </w:t>
            </w:r>
            <w:proofErr w:type="spellStart"/>
            <w:r w:rsidRPr="00C86286">
              <w:rPr>
                <w:lang w:val="ms-MY"/>
              </w:rPr>
              <w:t>Regulatory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Reform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Committee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under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Office </w:t>
            </w:r>
            <w:proofErr w:type="spellStart"/>
            <w:r w:rsidRPr="00C86286">
              <w:rPr>
                <w:lang w:val="ms-MY"/>
              </w:rPr>
              <w:t>for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Government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Policy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Coordination</w:t>
            </w:r>
            <w:proofErr w:type="spellEnd"/>
            <w:r w:rsidRPr="00C86286">
              <w:rPr>
                <w:lang w:val="ms-MY"/>
              </w:rPr>
              <w:t xml:space="preserve">, </w:t>
            </w:r>
            <w:proofErr w:type="spellStart"/>
            <w:r w:rsidRPr="00C86286">
              <w:rPr>
                <w:lang w:val="ms-MY"/>
              </w:rPr>
              <w:t>Prime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Minister's</w:t>
            </w:r>
            <w:proofErr w:type="spellEnd"/>
            <w:r w:rsidRPr="00C86286">
              <w:rPr>
                <w:lang w:val="ms-MY"/>
              </w:rPr>
              <w:t xml:space="preserve"> Secretariat, and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Planning</w:t>
            </w:r>
            <w:proofErr w:type="spellEnd"/>
            <w:r w:rsidRPr="00C86286">
              <w:rPr>
                <w:lang w:val="ms-MY"/>
              </w:rPr>
              <w:t xml:space="preserve"> and </w:t>
            </w:r>
            <w:proofErr w:type="spellStart"/>
            <w:r w:rsidRPr="00C86286">
              <w:rPr>
                <w:lang w:val="ms-MY"/>
              </w:rPr>
              <w:t>Coordination</w:t>
            </w:r>
            <w:proofErr w:type="spellEnd"/>
            <w:r w:rsidRPr="00C86286">
              <w:rPr>
                <w:lang w:val="ms-MY"/>
              </w:rPr>
              <w:t xml:space="preserve"> Office (</w:t>
            </w:r>
            <w:proofErr w:type="spellStart"/>
            <w:r w:rsidRPr="00C86286">
              <w:rPr>
                <w:lang w:val="ms-MY"/>
              </w:rPr>
              <w:t>Regulatory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Reform</w:t>
            </w:r>
            <w:proofErr w:type="spellEnd"/>
            <w:r w:rsidRPr="00C86286">
              <w:rPr>
                <w:lang w:val="ms-MY"/>
              </w:rPr>
              <w:t xml:space="preserve">), </w:t>
            </w:r>
            <w:proofErr w:type="spellStart"/>
            <w:r w:rsidRPr="00C86286">
              <w:rPr>
                <w:lang w:val="ms-MY"/>
              </w:rPr>
              <w:t>Ministry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of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Land</w:t>
            </w:r>
            <w:proofErr w:type="spellEnd"/>
            <w:r w:rsidRPr="00C86286">
              <w:rPr>
                <w:lang w:val="ms-MY"/>
              </w:rPr>
              <w:t xml:space="preserve">, </w:t>
            </w:r>
            <w:proofErr w:type="spellStart"/>
            <w:r w:rsidRPr="00C86286">
              <w:rPr>
                <w:lang w:val="ms-MY"/>
              </w:rPr>
              <w:t>Infrastructure</w:t>
            </w:r>
            <w:proofErr w:type="spellEnd"/>
            <w:r w:rsidRPr="00C86286">
              <w:rPr>
                <w:lang w:val="ms-MY"/>
              </w:rPr>
              <w:t xml:space="preserve"> and </w:t>
            </w:r>
            <w:proofErr w:type="spellStart"/>
            <w:r w:rsidRPr="00C86286">
              <w:rPr>
                <w:lang w:val="ms-MY"/>
              </w:rPr>
              <w:t>Transport</w:t>
            </w:r>
            <w:proofErr w:type="spellEnd"/>
            <w:r w:rsidRPr="00C86286">
              <w:rPr>
                <w:lang w:val="ms-MY"/>
              </w:rPr>
              <w:t>.</w:t>
            </w:r>
          </w:p>
          <w:p w14:paraId="06F40D6F" w14:textId="77777777" w:rsidR="0071473F" w:rsidRPr="00C86286" w:rsidRDefault="0071473F" w:rsidP="0071473F">
            <w:pPr>
              <w:pStyle w:val="ListParagraph"/>
              <w:spacing w:before="120" w:after="120" w:line="276" w:lineRule="auto"/>
              <w:ind w:left="360"/>
              <w:jc w:val="both"/>
              <w:rPr>
                <w:lang w:val="ms-MY"/>
              </w:rPr>
            </w:pPr>
          </w:p>
          <w:p w14:paraId="29B5CEA5" w14:textId="5BB40761" w:rsidR="00982637" w:rsidRPr="00C86286" w:rsidRDefault="0071473F" w:rsidP="0071473F">
            <w:pPr>
              <w:pStyle w:val="ListParagraph"/>
              <w:numPr>
                <w:ilvl w:val="0"/>
                <w:numId w:val="9"/>
              </w:numPr>
              <w:spacing w:before="120" w:after="120" w:line="276" w:lineRule="auto"/>
              <w:jc w:val="both"/>
              <w:rPr>
                <w:lang w:val="ms-MY"/>
              </w:rPr>
            </w:pP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primary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objective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of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this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engagement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is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to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foster</w:t>
            </w:r>
            <w:proofErr w:type="spellEnd"/>
            <w:r w:rsidRPr="00C86286">
              <w:rPr>
                <w:lang w:val="ms-MY"/>
              </w:rPr>
              <w:t xml:space="preserve"> a </w:t>
            </w:r>
            <w:proofErr w:type="spellStart"/>
            <w:r w:rsidRPr="00C86286">
              <w:rPr>
                <w:lang w:val="ms-MY"/>
              </w:rPr>
              <w:t>learning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environment</w:t>
            </w:r>
            <w:proofErr w:type="spellEnd"/>
            <w:r w:rsidRPr="00C86286">
              <w:rPr>
                <w:lang w:val="ms-MY"/>
              </w:rPr>
              <w:t xml:space="preserve"> and </w:t>
            </w:r>
            <w:proofErr w:type="spellStart"/>
            <w:r w:rsidRPr="00C86286">
              <w:rPr>
                <w:lang w:val="ms-MY"/>
              </w:rPr>
              <w:t>facilitate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exchange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of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best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practices</w:t>
            </w:r>
            <w:proofErr w:type="spellEnd"/>
            <w:r w:rsidRPr="00C86286">
              <w:rPr>
                <w:lang w:val="ms-MY"/>
              </w:rPr>
              <w:t xml:space="preserve"> and </w:t>
            </w:r>
            <w:proofErr w:type="spellStart"/>
            <w:r w:rsidRPr="00C86286">
              <w:rPr>
                <w:lang w:val="ms-MY"/>
              </w:rPr>
              <w:t>perspectives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between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two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countries</w:t>
            </w:r>
            <w:proofErr w:type="spellEnd"/>
            <w:r w:rsidRPr="00C86286">
              <w:rPr>
                <w:lang w:val="ms-MY"/>
              </w:rPr>
              <w:t xml:space="preserve">. </w:t>
            </w:r>
            <w:proofErr w:type="spellStart"/>
            <w:r w:rsidRPr="00C86286">
              <w:rPr>
                <w:lang w:val="ms-MY"/>
              </w:rPr>
              <w:t>By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studying</w:t>
            </w:r>
            <w:proofErr w:type="spellEnd"/>
            <w:r w:rsidRPr="00C86286">
              <w:rPr>
                <w:lang w:val="ms-MY"/>
              </w:rPr>
              <w:t xml:space="preserve"> and </w:t>
            </w:r>
            <w:proofErr w:type="spellStart"/>
            <w:r w:rsidRPr="00C86286">
              <w:rPr>
                <w:lang w:val="ms-MY"/>
              </w:rPr>
              <w:t>sharing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experiences</w:t>
            </w:r>
            <w:proofErr w:type="spellEnd"/>
            <w:r w:rsidRPr="00C86286">
              <w:rPr>
                <w:lang w:val="ms-MY"/>
              </w:rPr>
              <w:t xml:space="preserve">, </w:t>
            </w:r>
            <w:proofErr w:type="spellStart"/>
            <w:r w:rsidRPr="00C86286">
              <w:rPr>
                <w:lang w:val="ms-MY"/>
              </w:rPr>
              <w:t>both</w:t>
            </w:r>
            <w:proofErr w:type="spellEnd"/>
            <w:r w:rsidRPr="00C86286">
              <w:rPr>
                <w:lang w:val="ms-MY"/>
              </w:rPr>
              <w:t xml:space="preserve"> Malaysia and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Republic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of</w:t>
            </w:r>
            <w:proofErr w:type="spellEnd"/>
            <w:r w:rsidRPr="00C86286">
              <w:rPr>
                <w:lang w:val="ms-MY"/>
              </w:rPr>
              <w:t xml:space="preserve"> Korea </w:t>
            </w:r>
            <w:proofErr w:type="spellStart"/>
            <w:r w:rsidRPr="00C86286">
              <w:rPr>
                <w:lang w:val="ms-MY"/>
              </w:rPr>
              <w:t>aim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to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strengthen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their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regulatory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frameworks</w:t>
            </w:r>
            <w:proofErr w:type="spellEnd"/>
            <w:r w:rsidRPr="00C86286">
              <w:rPr>
                <w:lang w:val="ms-MY"/>
              </w:rPr>
              <w:t xml:space="preserve"> and </w:t>
            </w:r>
            <w:proofErr w:type="spellStart"/>
            <w:r w:rsidRPr="00C86286">
              <w:rPr>
                <w:lang w:val="ms-MY"/>
              </w:rPr>
              <w:t>enhance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their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approaches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to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regulatory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reform</w:t>
            </w:r>
            <w:proofErr w:type="spellEnd"/>
            <w:r w:rsidRPr="00C86286">
              <w:rPr>
                <w:lang w:val="ms-MY"/>
              </w:rPr>
              <w:t>.</w:t>
            </w:r>
          </w:p>
        </w:tc>
      </w:tr>
      <w:tr w:rsidR="001635BA" w:rsidRPr="00EA0172" w14:paraId="116A68DA" w14:textId="77777777" w:rsidTr="00AF2B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0DA61F93" w:rsidR="001635BA" w:rsidRPr="00C86286" w:rsidRDefault="00C9314D" w:rsidP="00B457B0">
            <w:pPr>
              <w:spacing w:before="120" w:after="120" w:line="276" w:lineRule="auto"/>
              <w:jc w:val="both"/>
              <w:rPr>
                <w:i/>
                <w:iCs/>
                <w:lang w:val="ms-MY"/>
              </w:rPr>
            </w:pPr>
            <w:r w:rsidRPr="00C86286">
              <w:rPr>
                <w:i/>
                <w:iCs/>
                <w:lang w:val="ms-MY"/>
              </w:rPr>
              <w:t>Sebut Harga</w:t>
            </w:r>
            <w:r w:rsidR="00600925" w:rsidRPr="00C86286">
              <w:rPr>
                <w:i/>
                <w:iCs/>
                <w:lang w:val="ms-MY"/>
              </w:rPr>
              <w:t xml:space="preserve"> (</w:t>
            </w:r>
            <w:r w:rsidR="00B457B0" w:rsidRPr="00C86286">
              <w:rPr>
                <w:i/>
                <w:iCs/>
                <w:lang w:val="ms-MY"/>
              </w:rPr>
              <w:t xml:space="preserve">Perolehan Perkhidmatan </w:t>
            </w:r>
            <w:r w:rsidR="00600925" w:rsidRPr="00C86286">
              <w:rPr>
                <w:i/>
                <w:iCs/>
                <w:lang w:val="ms-MY"/>
              </w:rPr>
              <w:t>Melebihi RM100</w:t>
            </w:r>
            <w:r w:rsidR="00B457B0" w:rsidRPr="00C86286">
              <w:rPr>
                <w:i/>
                <w:iCs/>
                <w:lang w:val="ms-MY"/>
              </w:rPr>
              <w:t xml:space="preserve"> </w:t>
            </w:r>
            <w:r w:rsidR="00600925" w:rsidRPr="00C86286">
              <w:rPr>
                <w:i/>
                <w:iCs/>
                <w:lang w:val="ms-MY"/>
              </w:rPr>
              <w:t>ribu hingga</w:t>
            </w:r>
            <w:r w:rsidR="00B457B0" w:rsidRPr="00C86286">
              <w:rPr>
                <w:i/>
                <w:iCs/>
                <w:lang w:val="ms-MY"/>
              </w:rPr>
              <w:t xml:space="preserve"> </w:t>
            </w:r>
            <w:r w:rsidR="00600925" w:rsidRPr="00C86286">
              <w:rPr>
                <w:i/>
                <w:iCs/>
                <w:lang w:val="ms-MY"/>
              </w:rPr>
              <w:t>RM500</w:t>
            </w:r>
            <w:r w:rsidR="00B457B0" w:rsidRPr="00C86286">
              <w:rPr>
                <w:i/>
                <w:iCs/>
                <w:lang w:val="ms-MY"/>
              </w:rPr>
              <w:t xml:space="preserve"> ribu)</w:t>
            </w:r>
          </w:p>
        </w:tc>
      </w:tr>
      <w:tr w:rsidR="001635BA" w:rsidRPr="00EA0172" w14:paraId="3EA8E1D4" w14:textId="77777777" w:rsidTr="00AF2B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65D4" w14:textId="77777777" w:rsidR="0006666E" w:rsidRPr="00C86286" w:rsidRDefault="0006666E" w:rsidP="0006666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r w:rsidRPr="00C86286">
              <w:rPr>
                <w:color w:val="000000"/>
                <w:lang w:val="en-MY" w:eastAsia="en-MY"/>
              </w:rPr>
              <w:t>Cabinet</w:t>
            </w:r>
          </w:p>
          <w:p w14:paraId="3ED23BA0" w14:textId="57813BA7" w:rsidR="0006666E" w:rsidRPr="00C86286" w:rsidRDefault="0006666E" w:rsidP="0006666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r w:rsidRPr="00C86286">
              <w:rPr>
                <w:color w:val="000000"/>
                <w:lang w:val="en-MY" w:eastAsia="en-MY"/>
              </w:rPr>
              <w:t xml:space="preserve">MITI, </w:t>
            </w:r>
            <w:r w:rsidR="0004004F" w:rsidRPr="00C86286">
              <w:rPr>
                <w:color w:val="000000"/>
                <w:lang w:val="en-MY" w:eastAsia="en-MY"/>
              </w:rPr>
              <w:t>AGC</w:t>
            </w:r>
          </w:p>
          <w:p w14:paraId="22463927" w14:textId="77777777" w:rsidR="0006666E" w:rsidRPr="00C86286" w:rsidRDefault="0006666E" w:rsidP="0006666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r w:rsidRPr="00C86286">
              <w:rPr>
                <w:color w:val="000000"/>
                <w:lang w:val="en-MY" w:eastAsia="en-MY"/>
              </w:rPr>
              <w:t>Ministries and Regulatory Agencies</w:t>
            </w:r>
          </w:p>
          <w:p w14:paraId="309AD34C" w14:textId="47653076" w:rsidR="0006666E" w:rsidRPr="00C86286" w:rsidRDefault="0006666E" w:rsidP="0004004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r w:rsidRPr="00C86286">
              <w:rPr>
                <w:color w:val="000000"/>
                <w:lang w:val="en-MY" w:eastAsia="en-MY"/>
              </w:rPr>
              <w:t>Businesses</w:t>
            </w:r>
          </w:p>
        </w:tc>
      </w:tr>
      <w:tr w:rsidR="001635BA" w:rsidRPr="00EA0172" w14:paraId="64096369" w14:textId="77777777" w:rsidTr="00AF2B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A071C3" w:rsidRDefault="001635BA" w:rsidP="00436781">
            <w:pPr>
              <w:spacing w:before="120" w:after="240" w:line="276" w:lineRule="auto"/>
              <w:rPr>
                <w:b/>
                <w:lang w:val="ms-MY"/>
              </w:rPr>
            </w:pPr>
            <w:r w:rsidRPr="00A071C3">
              <w:rPr>
                <w:b/>
                <w:lang w:val="ms-MY"/>
              </w:rPr>
              <w:t xml:space="preserve">JANGKAAN HASIL/ </w:t>
            </w:r>
            <w:r w:rsidRPr="00A071C3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A071C3" w:rsidRDefault="001635BA" w:rsidP="00436781">
            <w:pPr>
              <w:spacing w:before="120" w:after="240" w:line="276" w:lineRule="auto"/>
              <w:rPr>
                <w:bCs/>
                <w:sz w:val="16"/>
                <w:szCs w:val="16"/>
                <w:lang w:val="ms-MY"/>
              </w:rPr>
            </w:pPr>
            <w:r w:rsidRPr="00A071C3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891D" w14:textId="77777777" w:rsidR="00C05B0C" w:rsidRPr="00C86286" w:rsidRDefault="00C05B0C" w:rsidP="00C05B0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r w:rsidRPr="00C86286">
              <w:rPr>
                <w:color w:val="000000"/>
                <w:lang w:val="en-MY" w:eastAsia="en-MY"/>
              </w:rPr>
              <w:t>Enhance comprehension of the context, scope, and criteria to be addressed in the Good Regulatory Practice (GRP) chapter, as well as assess the readiness of IPEF member countries regarding GRP.</w:t>
            </w:r>
          </w:p>
          <w:p w14:paraId="36D500E4" w14:textId="77777777" w:rsidR="00C05B0C" w:rsidRPr="00C86286" w:rsidRDefault="00C05B0C" w:rsidP="00C05B0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color w:val="000000"/>
                <w:lang w:val="en-MY" w:eastAsia="en-MY"/>
              </w:rPr>
            </w:pPr>
          </w:p>
          <w:p w14:paraId="248FFF20" w14:textId="40D568EF" w:rsidR="00C05B0C" w:rsidRPr="00C86286" w:rsidRDefault="00C05B0C" w:rsidP="00C05B0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r w:rsidRPr="00C86286">
              <w:rPr>
                <w:color w:val="000000"/>
                <w:lang w:val="en-MY" w:eastAsia="en-MY"/>
              </w:rPr>
              <w:t>Ensure effective implementation of Malaysia's commitment to the topic of Good Regulatory Practice (GRP) and guarantee its successful realisation.</w:t>
            </w:r>
          </w:p>
          <w:p w14:paraId="433B2F5D" w14:textId="77777777" w:rsidR="00C05B0C" w:rsidRPr="00C86286" w:rsidRDefault="00C05B0C" w:rsidP="00C05B0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color w:val="000000"/>
                <w:lang w:val="en-MY" w:eastAsia="en-MY"/>
              </w:rPr>
            </w:pPr>
          </w:p>
          <w:p w14:paraId="5094DA3A" w14:textId="77777777" w:rsidR="00C05B0C" w:rsidRPr="00C86286" w:rsidRDefault="00C05B0C" w:rsidP="00C05B0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r w:rsidRPr="00C86286">
              <w:rPr>
                <w:color w:val="000000"/>
                <w:lang w:val="en-MY" w:eastAsia="en-MY"/>
              </w:rPr>
              <w:t>Delve into strategic discussions pertaining to national interests associated with GRP, allowing for a comprehensive examination and determination of the most suitable approach.</w:t>
            </w:r>
          </w:p>
          <w:p w14:paraId="7984BBEF" w14:textId="77777777" w:rsidR="00C05B0C" w:rsidRPr="00C86286" w:rsidRDefault="00C05B0C" w:rsidP="00C05B0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color w:val="000000"/>
                <w:lang w:val="en-MY" w:eastAsia="en-MY"/>
              </w:rPr>
            </w:pPr>
          </w:p>
          <w:p w14:paraId="3D4D92E6" w14:textId="3A309AA3" w:rsidR="00025EB9" w:rsidRPr="00C86286" w:rsidRDefault="00C41E4F" w:rsidP="00C05B0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lang w:val="en-MY" w:eastAsia="en-MY"/>
              </w:rPr>
            </w:pPr>
            <w:r w:rsidRPr="00C86286">
              <w:rPr>
                <w:color w:val="000000"/>
                <w:lang w:val="en-MY" w:eastAsia="en-MY"/>
              </w:rPr>
              <w:t>Malaysia and the Republic of Korea exchange best practices and experiences to strengthen their regulatory frameworks and enhance regulatory reform approaches. This collaboration fosters knowledge-sharing and continuous improvement in regulatory governance.</w:t>
            </w:r>
          </w:p>
        </w:tc>
      </w:tr>
      <w:tr w:rsidR="001635BA" w:rsidRPr="00EA0172" w14:paraId="6C1793A3" w14:textId="77777777" w:rsidTr="00AF2B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proofErr w:type="spellStart"/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Keterangan:Output</w:t>
            </w:r>
            <w:proofErr w:type="spellEnd"/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 ketara dan tidak ketara yang dihasilkan daripada aktiviti projek/ cadangan.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7C03DBB9" w:rsidR="00D95B30" w:rsidRPr="00C86286" w:rsidRDefault="008C7D13" w:rsidP="00D95B30">
            <w:pPr>
              <w:jc w:val="both"/>
              <w:rPr>
                <w:lang w:val="ms-MY"/>
              </w:rPr>
            </w:pPr>
            <w:proofErr w:type="spellStart"/>
            <w:r w:rsidRPr="00C86286">
              <w:rPr>
                <w:i/>
                <w:iCs/>
                <w:lang w:val="ms-MY"/>
              </w:rPr>
              <w:t>Review</w:t>
            </w:r>
            <w:proofErr w:type="spellEnd"/>
            <w:r w:rsidRPr="00C86286">
              <w:rPr>
                <w:i/>
                <w:iCs/>
                <w:lang w:val="ms-MY"/>
              </w:rPr>
              <w:t xml:space="preserve"> </w:t>
            </w:r>
            <w:proofErr w:type="spellStart"/>
            <w:r w:rsidRPr="00C86286">
              <w:rPr>
                <w:i/>
                <w:iCs/>
                <w:lang w:val="ms-MY"/>
              </w:rPr>
              <w:t>Report</w:t>
            </w:r>
            <w:proofErr w:type="spellEnd"/>
            <w:r w:rsidRPr="00C86286">
              <w:rPr>
                <w:i/>
                <w:iCs/>
                <w:lang w:val="ms-MY"/>
              </w:rPr>
              <w:t xml:space="preserve"> </w:t>
            </w:r>
            <w:proofErr w:type="spellStart"/>
            <w:r w:rsidRPr="00C86286">
              <w:rPr>
                <w:i/>
                <w:iCs/>
                <w:lang w:val="ms-MY"/>
              </w:rPr>
              <w:t>on</w:t>
            </w:r>
            <w:proofErr w:type="spellEnd"/>
            <w:r w:rsidRPr="00C86286">
              <w:rPr>
                <w:i/>
                <w:iCs/>
                <w:lang w:val="ms-MY"/>
              </w:rPr>
              <w:t xml:space="preserve"> </w:t>
            </w:r>
            <w:proofErr w:type="spellStart"/>
            <w:r w:rsidRPr="00C86286">
              <w:rPr>
                <w:i/>
                <w:iCs/>
                <w:lang w:val="ms-MY"/>
              </w:rPr>
              <w:t>the</w:t>
            </w:r>
            <w:proofErr w:type="spellEnd"/>
            <w:r w:rsidRPr="00C86286">
              <w:rPr>
                <w:i/>
                <w:iCs/>
                <w:lang w:val="ms-MY"/>
              </w:rPr>
              <w:t xml:space="preserve"> </w:t>
            </w:r>
            <w:proofErr w:type="spellStart"/>
            <w:r w:rsidRPr="00C86286">
              <w:rPr>
                <w:i/>
                <w:iCs/>
                <w:lang w:val="ms-MY"/>
              </w:rPr>
              <w:t>Good</w:t>
            </w:r>
            <w:proofErr w:type="spellEnd"/>
            <w:r w:rsidRPr="00C86286">
              <w:rPr>
                <w:i/>
                <w:iCs/>
                <w:lang w:val="ms-MY"/>
              </w:rPr>
              <w:t xml:space="preserve"> </w:t>
            </w:r>
            <w:proofErr w:type="spellStart"/>
            <w:r w:rsidRPr="00C86286">
              <w:rPr>
                <w:i/>
                <w:iCs/>
                <w:lang w:val="ms-MY"/>
              </w:rPr>
              <w:t>Regulatory</w:t>
            </w:r>
            <w:proofErr w:type="spellEnd"/>
            <w:r w:rsidRPr="00C86286">
              <w:rPr>
                <w:i/>
                <w:iCs/>
                <w:lang w:val="ms-MY"/>
              </w:rPr>
              <w:t xml:space="preserve"> </w:t>
            </w:r>
            <w:proofErr w:type="spellStart"/>
            <w:r w:rsidRPr="00C86286">
              <w:rPr>
                <w:i/>
                <w:iCs/>
                <w:lang w:val="ms-MY"/>
              </w:rPr>
              <w:t>Practice</w:t>
            </w:r>
            <w:proofErr w:type="spellEnd"/>
            <w:r w:rsidRPr="00C86286">
              <w:rPr>
                <w:i/>
                <w:iCs/>
                <w:lang w:val="ms-MY"/>
              </w:rPr>
              <w:t xml:space="preserve"> (GRP) </w:t>
            </w:r>
            <w:proofErr w:type="spellStart"/>
            <w:r w:rsidRPr="00C86286">
              <w:rPr>
                <w:i/>
                <w:iCs/>
                <w:lang w:val="ms-MY"/>
              </w:rPr>
              <w:t>Chapter</w:t>
            </w:r>
            <w:proofErr w:type="spellEnd"/>
            <w:r w:rsidRPr="00C86286">
              <w:rPr>
                <w:i/>
                <w:iCs/>
                <w:lang w:val="ms-MY"/>
              </w:rPr>
              <w:t xml:space="preserve"> and </w:t>
            </w:r>
            <w:proofErr w:type="spellStart"/>
            <w:r w:rsidRPr="00C86286">
              <w:rPr>
                <w:i/>
                <w:iCs/>
                <w:lang w:val="ms-MY"/>
              </w:rPr>
              <w:t>Benchmarking</w:t>
            </w:r>
            <w:proofErr w:type="spellEnd"/>
            <w:r w:rsidRPr="00C86286">
              <w:rPr>
                <w:i/>
                <w:iCs/>
                <w:lang w:val="ms-MY"/>
              </w:rPr>
              <w:t xml:space="preserve"> </w:t>
            </w:r>
            <w:proofErr w:type="spellStart"/>
            <w:r w:rsidRPr="00C86286">
              <w:rPr>
                <w:i/>
                <w:iCs/>
                <w:lang w:val="ms-MY"/>
              </w:rPr>
              <w:t>Report</w:t>
            </w:r>
            <w:proofErr w:type="spellEnd"/>
          </w:p>
        </w:tc>
      </w:tr>
      <w:tr w:rsidR="001635BA" w:rsidRPr="00EA0172" w14:paraId="5B41ED33" w14:textId="77777777" w:rsidTr="00AF2B99">
        <w:trPr>
          <w:trHeight w:val="583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D50F" w14:textId="526950CD" w:rsidR="00664EA2" w:rsidRPr="00C86286" w:rsidRDefault="005A77B0" w:rsidP="00664EA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ms-MY"/>
              </w:rPr>
            </w:pPr>
            <w:proofErr w:type="spellStart"/>
            <w:r w:rsidRPr="00C86286">
              <w:rPr>
                <w:lang w:val="ms-MY"/>
              </w:rPr>
              <w:t>Cabinet</w:t>
            </w:r>
            <w:proofErr w:type="spellEnd"/>
          </w:p>
          <w:p w14:paraId="28CE629D" w14:textId="086087E3" w:rsidR="00664EA2" w:rsidRPr="00C86286" w:rsidRDefault="00664EA2" w:rsidP="00664EA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ms-MY"/>
              </w:rPr>
            </w:pPr>
            <w:r w:rsidRPr="00C86286">
              <w:rPr>
                <w:lang w:val="ms-MY"/>
              </w:rPr>
              <w:t>MITI</w:t>
            </w:r>
          </w:p>
          <w:p w14:paraId="116216B5" w14:textId="77777777" w:rsidR="00360D50" w:rsidRPr="00C86286" w:rsidRDefault="005A77B0" w:rsidP="005A77B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proofErr w:type="spellStart"/>
            <w:r w:rsidRPr="00C86286">
              <w:rPr>
                <w:lang w:val="ms-MY"/>
              </w:rPr>
              <w:t>Ministries</w:t>
            </w:r>
            <w:proofErr w:type="spellEnd"/>
            <w:r w:rsidRPr="00C86286">
              <w:rPr>
                <w:lang w:val="ms-MY"/>
              </w:rPr>
              <w:t xml:space="preserve"> and </w:t>
            </w:r>
            <w:proofErr w:type="spellStart"/>
            <w:r w:rsidRPr="00C86286">
              <w:rPr>
                <w:lang w:val="ms-MY"/>
              </w:rPr>
              <w:t>Regulatory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Agencies</w:t>
            </w:r>
            <w:proofErr w:type="spellEnd"/>
          </w:p>
          <w:p w14:paraId="30F8FE56" w14:textId="0217B72D" w:rsidR="0006666E" w:rsidRPr="00C86286" w:rsidRDefault="0006666E" w:rsidP="005A77B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proofErr w:type="spellStart"/>
            <w:r w:rsidRPr="00C86286">
              <w:rPr>
                <w:lang w:val="ms-MY"/>
              </w:rPr>
              <w:t>Businesses</w:t>
            </w:r>
            <w:proofErr w:type="spellEnd"/>
          </w:p>
        </w:tc>
      </w:tr>
      <w:tr w:rsidR="001635BA" w:rsidRPr="00EA0172" w14:paraId="06209E19" w14:textId="77777777" w:rsidTr="00AF2B99">
        <w:trPr>
          <w:trHeight w:val="188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1C7A" w14:textId="29AF6A48" w:rsidR="00A1326A" w:rsidRPr="00C86286" w:rsidRDefault="00A1326A" w:rsidP="00140D7E">
            <w:pPr>
              <w:pStyle w:val="Default"/>
              <w:jc w:val="both"/>
              <w:rPr>
                <w:rFonts w:ascii="Arial" w:hAnsi="Arial" w:cs="Arial"/>
              </w:rPr>
            </w:pPr>
          </w:p>
          <w:tbl>
            <w:tblPr>
              <w:tblStyle w:val="TableGrid"/>
              <w:tblW w:w="5612" w:type="dxa"/>
              <w:jc w:val="center"/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3458"/>
              <w:gridCol w:w="2154"/>
            </w:tblGrid>
            <w:tr w:rsidR="00A1326A" w:rsidRPr="00C86286" w14:paraId="0A73662C" w14:textId="77777777" w:rsidTr="00CF34EA">
              <w:trPr>
                <w:trHeight w:val="57"/>
                <w:jc w:val="center"/>
              </w:trPr>
              <w:tc>
                <w:tcPr>
                  <w:tcW w:w="3458" w:type="dxa"/>
                  <w:shd w:val="clear" w:color="auto" w:fill="D5DCE4" w:themeFill="text2" w:themeFillTint="33"/>
                </w:tcPr>
                <w:p w14:paraId="43AD3F33" w14:textId="53EA1BDB" w:rsidR="00A1326A" w:rsidRPr="00C86286" w:rsidRDefault="00364B09" w:rsidP="00A1326A">
                  <w:pPr>
                    <w:rPr>
                      <w:b/>
                      <w:bCs/>
                      <w:lang w:val="ms-MY"/>
                    </w:rPr>
                  </w:pPr>
                  <w:proofErr w:type="spellStart"/>
                  <w:r w:rsidRPr="00C86286">
                    <w:rPr>
                      <w:b/>
                      <w:bCs/>
                      <w:lang w:val="ms-MY"/>
                    </w:rPr>
                    <w:t>Budget</w:t>
                  </w:r>
                  <w:proofErr w:type="spellEnd"/>
                  <w:r w:rsidRPr="00C86286">
                    <w:rPr>
                      <w:b/>
                      <w:bCs/>
                      <w:lang w:val="ms-MY"/>
                    </w:rPr>
                    <w:t xml:space="preserve"> </w:t>
                  </w:r>
                  <w:proofErr w:type="spellStart"/>
                  <w:r w:rsidRPr="00C86286">
                    <w:rPr>
                      <w:b/>
                      <w:bCs/>
                      <w:lang w:val="ms-MY"/>
                    </w:rPr>
                    <w:t>Allocation</w:t>
                  </w:r>
                  <w:proofErr w:type="spellEnd"/>
                </w:p>
              </w:tc>
              <w:tc>
                <w:tcPr>
                  <w:tcW w:w="2154" w:type="dxa"/>
                  <w:shd w:val="clear" w:color="auto" w:fill="D5DCE4" w:themeFill="text2" w:themeFillTint="33"/>
                  <w:vAlign w:val="center"/>
                </w:tcPr>
                <w:p w14:paraId="685E731F" w14:textId="77777777" w:rsidR="00A1326A" w:rsidRPr="00C86286" w:rsidRDefault="00A1326A" w:rsidP="00F71E19">
                  <w:pPr>
                    <w:jc w:val="right"/>
                    <w:rPr>
                      <w:b/>
                      <w:bCs/>
                      <w:lang w:val="ms-MY"/>
                    </w:rPr>
                  </w:pPr>
                  <w:r w:rsidRPr="00C86286">
                    <w:rPr>
                      <w:b/>
                      <w:bCs/>
                      <w:lang w:val="ms-MY"/>
                    </w:rPr>
                    <w:t>RM</w:t>
                  </w:r>
                </w:p>
              </w:tc>
            </w:tr>
            <w:tr w:rsidR="0032354B" w:rsidRPr="00C86286" w14:paraId="1C3600E5" w14:textId="77777777" w:rsidTr="00CF34EA">
              <w:trPr>
                <w:trHeight w:val="57"/>
                <w:jc w:val="center"/>
              </w:trPr>
              <w:tc>
                <w:tcPr>
                  <w:tcW w:w="3458" w:type="dxa"/>
                </w:tcPr>
                <w:p w14:paraId="08236DC5" w14:textId="2DCA2352" w:rsidR="0032354B" w:rsidRPr="00C86286" w:rsidRDefault="00364B09" w:rsidP="0032354B">
                  <w:pPr>
                    <w:rPr>
                      <w:b/>
                      <w:bCs/>
                      <w:lang w:val="ms-MY"/>
                    </w:rPr>
                  </w:pPr>
                  <w:r w:rsidRPr="00C86286">
                    <w:rPr>
                      <w:b/>
                      <w:bCs/>
                      <w:lang w:val="ms-MY"/>
                    </w:rPr>
                    <w:t>Development</w:t>
                  </w:r>
                  <w:r w:rsidR="0032354B" w:rsidRPr="00C86286">
                    <w:rPr>
                      <w:b/>
                      <w:bCs/>
                      <w:lang w:val="ms-MY"/>
                    </w:rPr>
                    <w:t xml:space="preserve"> (DE)</w:t>
                  </w:r>
                </w:p>
              </w:tc>
              <w:tc>
                <w:tcPr>
                  <w:tcW w:w="2154" w:type="dxa"/>
                  <w:vAlign w:val="center"/>
                </w:tcPr>
                <w:p w14:paraId="5236D27E" w14:textId="7B393218" w:rsidR="0032354B" w:rsidRPr="00C86286" w:rsidRDefault="003F4D1D" w:rsidP="0032354B">
                  <w:pPr>
                    <w:jc w:val="right"/>
                    <w:rPr>
                      <w:b/>
                      <w:bCs/>
                      <w:lang w:val="ms-MY"/>
                    </w:rPr>
                  </w:pPr>
                  <w:r w:rsidRPr="00C86286">
                    <w:rPr>
                      <w:b/>
                      <w:bCs/>
                      <w:color w:val="000000"/>
                      <w:lang w:eastAsia="en-MY"/>
                    </w:rPr>
                    <w:t>1</w:t>
                  </w:r>
                  <w:r w:rsidR="00342360">
                    <w:rPr>
                      <w:b/>
                      <w:bCs/>
                      <w:color w:val="000000"/>
                      <w:lang w:eastAsia="en-MY"/>
                    </w:rPr>
                    <w:t>65</w:t>
                  </w:r>
                  <w:r w:rsidRPr="00C86286">
                    <w:rPr>
                      <w:b/>
                      <w:bCs/>
                      <w:color w:val="000000"/>
                      <w:lang w:eastAsia="en-MY"/>
                    </w:rPr>
                    <w:t>,000.00</w:t>
                  </w:r>
                </w:p>
              </w:tc>
            </w:tr>
            <w:tr w:rsidR="00EF63EE" w:rsidRPr="00C86286" w14:paraId="443D42E4" w14:textId="77777777" w:rsidTr="00176A89">
              <w:trPr>
                <w:trHeight w:val="57"/>
                <w:jc w:val="center"/>
              </w:trPr>
              <w:tc>
                <w:tcPr>
                  <w:tcW w:w="3458" w:type="dxa"/>
                </w:tcPr>
                <w:p w14:paraId="5ECD11DA" w14:textId="1F09C872" w:rsidR="00EF63EE" w:rsidRPr="00C86286" w:rsidRDefault="00EF63EE" w:rsidP="00EF63EE">
                  <w:pPr>
                    <w:rPr>
                      <w:b/>
                      <w:bCs/>
                      <w:lang w:val="ms-MY"/>
                    </w:rPr>
                  </w:pPr>
                  <w:r w:rsidRPr="00C86286">
                    <w:rPr>
                      <w:b/>
                      <w:bCs/>
                      <w:lang w:val="ms-MY"/>
                    </w:rPr>
                    <w:t>Operation (OE)</w:t>
                  </w:r>
                </w:p>
              </w:tc>
              <w:tc>
                <w:tcPr>
                  <w:tcW w:w="2154" w:type="dxa"/>
                </w:tcPr>
                <w:p w14:paraId="7C32CF07" w14:textId="7516AF27" w:rsidR="00EF63EE" w:rsidRPr="00C86286" w:rsidRDefault="00EF63EE" w:rsidP="00EF63EE">
                  <w:pPr>
                    <w:jc w:val="right"/>
                    <w:rPr>
                      <w:b/>
                      <w:bCs/>
                      <w:lang w:val="ms-MY"/>
                    </w:rPr>
                  </w:pPr>
                  <w:r w:rsidRPr="00AF6490">
                    <w:rPr>
                      <w:b/>
                      <w:bCs/>
                      <w:color w:val="000000"/>
                      <w:sz w:val="22"/>
                      <w:szCs w:val="22"/>
                      <w:lang w:eastAsia="en-MY"/>
                    </w:rPr>
                    <w:t>11,873.05</w:t>
                  </w:r>
                </w:p>
              </w:tc>
            </w:tr>
            <w:tr w:rsidR="00EF63EE" w:rsidRPr="00C86286" w14:paraId="7C6544BC" w14:textId="77777777" w:rsidTr="00176A89">
              <w:trPr>
                <w:trHeight w:val="57"/>
                <w:jc w:val="center"/>
              </w:trPr>
              <w:tc>
                <w:tcPr>
                  <w:tcW w:w="3458" w:type="dxa"/>
                </w:tcPr>
                <w:p w14:paraId="7D3C0EB3" w14:textId="334B5666" w:rsidR="00EF63EE" w:rsidRPr="00C86286" w:rsidRDefault="00EF63EE" w:rsidP="00EF63EE">
                  <w:pPr>
                    <w:rPr>
                      <w:b/>
                      <w:bCs/>
                      <w:lang w:val="ms-MY"/>
                    </w:rPr>
                  </w:pPr>
                  <w:r w:rsidRPr="00C86286">
                    <w:rPr>
                      <w:b/>
                      <w:bCs/>
                      <w:lang w:val="ms-MY"/>
                    </w:rPr>
                    <w:t>TOTAL</w:t>
                  </w:r>
                </w:p>
              </w:tc>
              <w:tc>
                <w:tcPr>
                  <w:tcW w:w="2154" w:type="dxa"/>
                </w:tcPr>
                <w:p w14:paraId="040CDC1F" w14:textId="79A488AC" w:rsidR="00EF63EE" w:rsidRPr="00C86286" w:rsidRDefault="00EF63EE" w:rsidP="00EF63EE">
                  <w:pPr>
                    <w:jc w:val="right"/>
                    <w:rPr>
                      <w:b/>
                      <w:bCs/>
                      <w:lang w:val="ms-MY"/>
                    </w:rPr>
                  </w:pPr>
                  <w:r w:rsidRPr="00AF6490">
                    <w:rPr>
                      <w:b/>
                      <w:bCs/>
                      <w:color w:val="000000"/>
                      <w:sz w:val="22"/>
                      <w:szCs w:val="22"/>
                      <w:lang w:eastAsia="en-MY"/>
                    </w:rPr>
                    <w:t>176,873.05</w:t>
                  </w:r>
                </w:p>
              </w:tc>
            </w:tr>
          </w:tbl>
          <w:p w14:paraId="498D100B" w14:textId="77777777" w:rsidR="00A1326A" w:rsidRPr="00C86286" w:rsidRDefault="00A1326A" w:rsidP="00140D7E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742337CD" w14:textId="6E2B89A3" w:rsidR="001635BA" w:rsidRPr="00C86286" w:rsidRDefault="00A052FE" w:rsidP="00A052FE">
            <w:pPr>
              <w:pStyle w:val="Default"/>
              <w:jc w:val="both"/>
              <w:rPr>
                <w:rFonts w:ascii="Arial" w:hAnsi="Arial" w:cs="Arial"/>
              </w:rPr>
            </w:pPr>
            <w:r w:rsidRPr="00C86286">
              <w:rPr>
                <w:rFonts w:ascii="Arial" w:hAnsi="Arial" w:cs="Arial"/>
              </w:rPr>
              <w:t xml:space="preserve">Detailed information on the estimated expenditure costs can be found in Appendix </w:t>
            </w:r>
            <w:r w:rsidR="00E34613" w:rsidRPr="00C86286">
              <w:rPr>
                <w:rFonts w:ascii="Arial" w:hAnsi="Arial" w:cs="Arial"/>
              </w:rPr>
              <w:t>3</w:t>
            </w:r>
            <w:r w:rsidRPr="00C86286">
              <w:rPr>
                <w:rFonts w:ascii="Arial" w:hAnsi="Arial" w:cs="Arial"/>
              </w:rPr>
              <w:t>.</w:t>
            </w:r>
          </w:p>
        </w:tc>
      </w:tr>
      <w:tr w:rsidR="001635BA" w:rsidRPr="00EA0172" w14:paraId="5BCB9FDE" w14:textId="77777777" w:rsidTr="00AF2B99">
        <w:trPr>
          <w:trHeight w:val="771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3D104DB0" w:rsidR="001635BA" w:rsidRPr="00C86286" w:rsidRDefault="00A052FE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C86286">
              <w:rPr>
                <w:lang w:val="ms-MY"/>
              </w:rPr>
              <w:t>n/a</w:t>
            </w:r>
          </w:p>
        </w:tc>
      </w:tr>
      <w:tr w:rsidR="001635BA" w:rsidRPr="00EA0172" w14:paraId="2CE7E360" w14:textId="77777777" w:rsidTr="00AF2B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1BE0FDDD" w:rsidR="001635BA" w:rsidRPr="00C86286" w:rsidRDefault="004D5535" w:rsidP="00BD6D6E">
            <w:pPr>
              <w:spacing w:before="120" w:after="120"/>
              <w:jc w:val="both"/>
              <w:rPr>
                <w:lang w:val="ms-MY"/>
              </w:rPr>
            </w:pPr>
            <w:proofErr w:type="spellStart"/>
            <w:r w:rsidRPr="00C86286">
              <w:rPr>
                <w:lang w:val="ms-MY"/>
              </w:rPr>
              <w:t>Board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of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Management</w:t>
            </w:r>
            <w:proofErr w:type="spellEnd"/>
            <w:r w:rsidRPr="00C86286">
              <w:rPr>
                <w:lang w:val="ms-MY"/>
              </w:rPr>
              <w:t xml:space="preserve"> (BOM) </w:t>
            </w:r>
            <w:proofErr w:type="spellStart"/>
            <w:r w:rsidRPr="00C86286">
              <w:rPr>
                <w:lang w:val="ms-MY"/>
              </w:rPr>
              <w:t>to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approve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="007237A0" w:rsidRPr="00C86286">
              <w:rPr>
                <w:lang w:val="ms-MY"/>
              </w:rPr>
              <w:t>proposed</w:t>
            </w:r>
            <w:proofErr w:type="spellEnd"/>
            <w:r w:rsidR="007237A0"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list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of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delegates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for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Capacity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Building</w:t>
            </w:r>
            <w:proofErr w:type="spellEnd"/>
            <w:r w:rsidRPr="00C86286">
              <w:rPr>
                <w:lang w:val="ms-MY"/>
              </w:rPr>
              <w:t xml:space="preserve"> Program: </w:t>
            </w:r>
            <w:proofErr w:type="spellStart"/>
            <w:r w:rsidRPr="00C86286">
              <w:rPr>
                <w:lang w:val="ms-MY"/>
              </w:rPr>
              <w:t>Regulatory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Reform</w:t>
            </w:r>
            <w:proofErr w:type="spellEnd"/>
            <w:r w:rsidRPr="00C86286">
              <w:rPr>
                <w:lang w:val="ms-MY"/>
              </w:rPr>
              <w:t xml:space="preserve"> Program </w:t>
            </w:r>
            <w:proofErr w:type="spellStart"/>
            <w:r w:rsidRPr="00C86286">
              <w:rPr>
                <w:lang w:val="ms-MY"/>
              </w:rPr>
              <w:t>Benchmarking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with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the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Republic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of</w:t>
            </w:r>
            <w:proofErr w:type="spellEnd"/>
            <w:r w:rsidRPr="00C86286">
              <w:rPr>
                <w:lang w:val="ms-MY"/>
              </w:rPr>
              <w:t xml:space="preserve"> Korea and Senior </w:t>
            </w:r>
            <w:proofErr w:type="spellStart"/>
            <w:r w:rsidRPr="00C86286">
              <w:rPr>
                <w:lang w:val="ms-MY"/>
              </w:rPr>
              <w:t>Official</w:t>
            </w:r>
            <w:proofErr w:type="spellEnd"/>
            <w:r w:rsidRPr="00C86286">
              <w:rPr>
                <w:lang w:val="ms-MY"/>
              </w:rPr>
              <w:t xml:space="preserve"> Bilateral </w:t>
            </w:r>
            <w:proofErr w:type="spellStart"/>
            <w:r w:rsidRPr="00C86286">
              <w:rPr>
                <w:lang w:val="ms-MY"/>
              </w:rPr>
              <w:t>Meeting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on</w:t>
            </w:r>
            <w:proofErr w:type="spellEnd"/>
            <w:r w:rsidRPr="00C86286">
              <w:rPr>
                <w:lang w:val="ms-MY"/>
              </w:rPr>
              <w:t xml:space="preserve"> IPEF</w:t>
            </w:r>
            <w:r w:rsidR="007237A0" w:rsidRPr="00C86286">
              <w:rPr>
                <w:lang w:val="ms-MY"/>
              </w:rPr>
              <w:t xml:space="preserve"> </w:t>
            </w:r>
            <w:proofErr w:type="spellStart"/>
            <w:r w:rsidR="007237A0" w:rsidRPr="00C86286">
              <w:rPr>
                <w:lang w:val="ms-MY"/>
              </w:rPr>
              <w:t>with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="007237A0" w:rsidRPr="00C86286">
              <w:rPr>
                <w:lang w:val="ms-MY"/>
              </w:rPr>
              <w:t>t</w:t>
            </w:r>
            <w:r w:rsidRPr="00C86286">
              <w:rPr>
                <w:lang w:val="ms-MY"/>
              </w:rPr>
              <w:t>he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estimated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cost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for</w:t>
            </w:r>
            <w:proofErr w:type="spellEnd"/>
            <w:r w:rsidRPr="00C86286">
              <w:rPr>
                <w:lang w:val="ms-MY"/>
              </w:rPr>
              <w:t xml:space="preserve"> </w:t>
            </w:r>
            <w:proofErr w:type="spellStart"/>
            <w:r w:rsidRPr="00C86286">
              <w:rPr>
                <w:lang w:val="ms-MY"/>
              </w:rPr>
              <w:t>this</w:t>
            </w:r>
            <w:proofErr w:type="spellEnd"/>
            <w:r w:rsidRPr="00C86286">
              <w:rPr>
                <w:lang w:val="ms-MY"/>
              </w:rPr>
              <w:t xml:space="preserve"> program </w:t>
            </w:r>
            <w:proofErr w:type="spellStart"/>
            <w:r w:rsidRPr="00C86286">
              <w:rPr>
                <w:lang w:val="ms-MY"/>
              </w:rPr>
              <w:t>is</w:t>
            </w:r>
            <w:proofErr w:type="spellEnd"/>
            <w:r w:rsidRPr="00C86286">
              <w:rPr>
                <w:lang w:val="ms-MY"/>
              </w:rPr>
              <w:t xml:space="preserve"> </w:t>
            </w:r>
            <w:r w:rsidRPr="00342360">
              <w:rPr>
                <w:b/>
                <w:bCs/>
                <w:lang w:val="ms-MY"/>
              </w:rPr>
              <w:t>RM</w:t>
            </w:r>
            <w:r w:rsidR="007060ED" w:rsidRPr="00342360">
              <w:rPr>
                <w:b/>
                <w:bCs/>
                <w:lang w:val="ms-MY"/>
              </w:rPr>
              <w:t>1</w:t>
            </w:r>
            <w:r w:rsidR="00342360" w:rsidRPr="00342360">
              <w:rPr>
                <w:b/>
                <w:bCs/>
                <w:lang w:val="ms-MY"/>
              </w:rPr>
              <w:t>76</w:t>
            </w:r>
            <w:r w:rsidR="007060ED" w:rsidRPr="00342360">
              <w:rPr>
                <w:b/>
                <w:bCs/>
                <w:lang w:val="ms-MY"/>
              </w:rPr>
              <w:t>,</w:t>
            </w:r>
            <w:r w:rsidR="00EF63EE">
              <w:rPr>
                <w:b/>
                <w:bCs/>
                <w:lang w:val="ms-MY"/>
              </w:rPr>
              <w:t>873</w:t>
            </w:r>
            <w:r w:rsidR="007060ED" w:rsidRPr="00342360">
              <w:rPr>
                <w:b/>
                <w:bCs/>
                <w:lang w:val="ms-MY"/>
              </w:rPr>
              <w:t>.0</w:t>
            </w:r>
            <w:r w:rsidR="00EF63EE">
              <w:rPr>
                <w:b/>
                <w:bCs/>
                <w:lang w:val="ms-MY"/>
              </w:rPr>
              <w:t>5</w:t>
            </w:r>
          </w:p>
        </w:tc>
      </w:tr>
      <w:tr w:rsidR="001635BA" w:rsidRPr="00EA0172" w14:paraId="4E89AFFD" w14:textId="77777777" w:rsidTr="00AF2B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542C2DD" w:rsidR="001635BA" w:rsidRPr="00C86286" w:rsidRDefault="00BD6D6E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C86286">
              <w:rPr>
                <w:lang w:val="ms-MY"/>
              </w:rPr>
              <w:t>NCS/PCD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Default="008C7CBE" w:rsidP="008C7CBE">
      <w:pPr>
        <w:spacing w:line="276" w:lineRule="auto"/>
        <w:ind w:left="-142"/>
        <w:rPr>
          <w:sz w:val="22"/>
          <w:szCs w:val="22"/>
        </w:rPr>
      </w:pPr>
      <w:r w:rsidRPr="004069C7">
        <w:rPr>
          <w:sz w:val="22"/>
          <w:szCs w:val="22"/>
        </w:rPr>
        <w:t xml:space="preserve">**Sila </w:t>
      </w:r>
      <w:proofErr w:type="spellStart"/>
      <w:r w:rsidRPr="004069C7">
        <w:rPr>
          <w:sz w:val="22"/>
          <w:szCs w:val="22"/>
        </w:rPr>
        <w:t>lampirkan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maklumat-maklumat</w:t>
      </w:r>
      <w:proofErr w:type="spellEnd"/>
      <w:r w:rsidRPr="004069C7">
        <w:rPr>
          <w:sz w:val="22"/>
          <w:szCs w:val="22"/>
        </w:rPr>
        <w:t xml:space="preserve"> lain yang </w:t>
      </w:r>
      <w:proofErr w:type="spellStart"/>
      <w:r w:rsidRPr="004069C7">
        <w:rPr>
          <w:sz w:val="22"/>
          <w:szCs w:val="22"/>
        </w:rPr>
        <w:t>berkaitan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sekiranya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perlu</w:t>
      </w:r>
      <w:proofErr w:type="spellEnd"/>
      <w:r w:rsidRPr="004069C7">
        <w:rPr>
          <w:sz w:val="22"/>
          <w:szCs w:val="22"/>
        </w:rPr>
        <w:t xml:space="preserve">. </w:t>
      </w:r>
    </w:p>
    <w:p w14:paraId="2B9E31F3" w14:textId="19509878" w:rsidR="008C7CBE" w:rsidRDefault="008C7CBE" w:rsidP="008C7CBE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lastRenderedPageBreak/>
        <w:t>(</w:t>
      </w:r>
      <w:proofErr w:type="spellStart"/>
      <w:r w:rsidRPr="004069C7">
        <w:rPr>
          <w:sz w:val="22"/>
          <w:szCs w:val="22"/>
        </w:rPr>
        <w:t>Contoh</w:t>
      </w:r>
      <w:proofErr w:type="spellEnd"/>
      <w:r w:rsidRPr="004069C7">
        <w:rPr>
          <w:sz w:val="22"/>
          <w:szCs w:val="22"/>
        </w:rPr>
        <w:t xml:space="preserve">: Agenda program, </w:t>
      </w:r>
      <w:proofErr w:type="spellStart"/>
      <w:r w:rsidRPr="004069C7">
        <w:rPr>
          <w:sz w:val="22"/>
          <w:szCs w:val="22"/>
        </w:rPr>
        <w:t>perincian</w:t>
      </w:r>
      <w:proofErr w:type="spellEnd"/>
      <w:r w:rsidRPr="004069C7">
        <w:rPr>
          <w:sz w:val="22"/>
          <w:szCs w:val="22"/>
        </w:rPr>
        <w:t xml:space="preserve"> kos,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risiko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gambar</w:t>
      </w:r>
      <w:proofErr w:type="spellEnd"/>
      <w:r w:rsidRPr="004069C7">
        <w:rPr>
          <w:sz w:val="22"/>
          <w:szCs w:val="22"/>
        </w:rPr>
        <w:t xml:space="preserve"> rajah, </w:t>
      </w:r>
      <w:proofErr w:type="spellStart"/>
      <w:r w:rsidRPr="004069C7">
        <w:rPr>
          <w:sz w:val="22"/>
          <w:szCs w:val="22"/>
        </w:rPr>
        <w:t>lakaran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senarai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nama</w:t>
      </w:r>
      <w:proofErr w:type="spellEnd"/>
      <w:r w:rsidRPr="004069C7">
        <w:rPr>
          <w:sz w:val="22"/>
          <w:szCs w:val="22"/>
        </w:rPr>
        <w:t xml:space="preserve">, carta Gantt, </w:t>
      </w:r>
      <w:proofErr w:type="spellStart"/>
      <w:r w:rsidRPr="004069C7">
        <w:rPr>
          <w:sz w:val="22"/>
          <w:szCs w:val="22"/>
        </w:rPr>
        <w:t>dll</w:t>
      </w:r>
      <w:proofErr w:type="spellEnd"/>
      <w:r w:rsidRPr="004069C7">
        <w:rPr>
          <w:sz w:val="22"/>
          <w:szCs w:val="22"/>
        </w:rPr>
        <w:t>.</w:t>
      </w:r>
      <w:r w:rsidR="00A84887">
        <w:rPr>
          <w:sz w:val="22"/>
          <w:szCs w:val="22"/>
        </w:rPr>
        <w:t>)</w:t>
      </w:r>
    </w:p>
    <w:p w14:paraId="541326D8" w14:textId="77777777" w:rsidR="001635BA" w:rsidRPr="00EA0172" w:rsidRDefault="001635BA" w:rsidP="001635BA">
      <w:pPr>
        <w:spacing w:line="276" w:lineRule="auto"/>
      </w:pPr>
    </w:p>
    <w:p w14:paraId="7AAFBA2D" w14:textId="77777777" w:rsidR="00724645" w:rsidRDefault="00724645" w:rsidP="00C47D64">
      <w:pPr>
        <w:spacing w:line="276" w:lineRule="auto"/>
        <w:jc w:val="center"/>
        <w:rPr>
          <w:rFonts w:eastAsia="MS Mincho"/>
          <w:sz w:val="22"/>
          <w:szCs w:val="22"/>
        </w:rPr>
        <w:sectPr w:rsidR="00724645" w:rsidSect="009A36D0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bookmarkStart w:id="0" w:name="_Hlk84284172"/>
    </w:p>
    <w:tbl>
      <w:tblPr>
        <w:tblW w:w="534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1635BA" w:rsidRPr="00EA0172" w14:paraId="442799BE" w14:textId="77777777" w:rsidTr="00703AD8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lastRenderedPageBreak/>
              <w:t xml:space="preserve">Hanya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Bajet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Bahagian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1635BA" w:rsidRPr="00EA0172" w14:paraId="53EFBA9E" w14:textId="77777777" w:rsidTr="00703AD8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005D86FD" w14:textId="4337298E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641F8CA" w14:textId="77777777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318754D9" w:rsidR="001635BA" w:rsidRPr="00EB5711" w:rsidRDefault="001635BA" w:rsidP="00C47D64">
            <w:pPr>
              <w:spacing w:line="276" w:lineRule="auto"/>
              <w:rPr>
                <w:rFonts w:eastAsia="MS Mincho"/>
              </w:rPr>
            </w:pPr>
            <w:r w:rsidRPr="00EB5711">
              <w:rPr>
                <w:rFonts w:eastAsia="MS Mincho"/>
              </w:rPr>
              <w:t>PEGAWAI PENJAGA BAJET PEMBANGUNAN</w:t>
            </w:r>
          </w:p>
          <w:p w14:paraId="7656570A" w14:textId="77777777" w:rsidR="00BF341D" w:rsidRDefault="00BF341D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BF341D">
              <w:rPr>
                <w:rFonts w:eastAsia="MS Mincho"/>
                <w:b/>
                <w:bCs/>
              </w:rPr>
              <w:t>Wan Fazlin Nadia Wan Osman</w:t>
            </w:r>
          </w:p>
          <w:p w14:paraId="321E5632" w14:textId="49FFD334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  <w:r w:rsidR="006B7E71">
              <w:rPr>
                <w:rFonts w:eastAsia="MS Mincho"/>
              </w:rPr>
              <w:t xml:space="preserve"> </w:t>
            </w:r>
            <w:proofErr w:type="spellStart"/>
            <w:r w:rsidR="00953ED4">
              <w:rPr>
                <w:rFonts w:eastAsia="MS Mincho"/>
              </w:rPr>
              <w:t>Pengarah</w:t>
            </w:r>
            <w:proofErr w:type="spellEnd"/>
          </w:p>
          <w:p w14:paraId="50DD8179" w14:textId="681C7B2E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 xml:space="preserve">Nama </w:t>
            </w:r>
            <w:proofErr w:type="spellStart"/>
            <w:r w:rsidRPr="00EA0172">
              <w:rPr>
                <w:rFonts w:eastAsia="MS Mincho"/>
              </w:rPr>
              <w:t>Bajet</w:t>
            </w:r>
            <w:proofErr w:type="spellEnd"/>
            <w:r w:rsidRPr="00EA0172">
              <w:rPr>
                <w:rFonts w:eastAsia="MS Mincho"/>
              </w:rPr>
              <w:t>:</w:t>
            </w:r>
            <w:r w:rsidR="00953ED4">
              <w:rPr>
                <w:rFonts w:eastAsia="MS Mincho"/>
              </w:rPr>
              <w:t xml:space="preserve"> </w:t>
            </w:r>
            <w:r w:rsidR="009B2EF4">
              <w:rPr>
                <w:rFonts w:eastAsia="MS Mincho"/>
              </w:rPr>
              <w:t>Pembangunan FORE</w:t>
            </w:r>
          </w:p>
          <w:p w14:paraId="5CBCD978" w14:textId="2B9AA8F6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  <w:r w:rsidR="000463A0">
              <w:rPr>
                <w:rFonts w:eastAsia="MS Mincho"/>
              </w:rPr>
              <w:t xml:space="preserve">   </w:t>
            </w:r>
            <w:r w:rsidR="004B6B06">
              <w:rPr>
                <w:rFonts w:eastAsia="MS Mincho"/>
              </w:rPr>
              <w:t>31</w:t>
            </w:r>
            <w:r w:rsidR="000463A0">
              <w:rPr>
                <w:rFonts w:eastAsia="MS Mincho"/>
              </w:rPr>
              <w:t xml:space="preserve"> </w:t>
            </w:r>
            <w:r w:rsidR="004B6B06">
              <w:rPr>
                <w:rFonts w:eastAsia="MS Mincho"/>
              </w:rPr>
              <w:t>May</w:t>
            </w:r>
            <w:r w:rsidR="000463A0">
              <w:rPr>
                <w:rFonts w:eastAsia="MS Mincho"/>
              </w:rPr>
              <w:t xml:space="preserve"> 202</w:t>
            </w:r>
            <w:r w:rsidR="00D52E10">
              <w:rPr>
                <w:rFonts w:eastAsia="MS Mincho"/>
              </w:rPr>
              <w:t>3</w:t>
            </w:r>
          </w:p>
        </w:tc>
      </w:tr>
      <w:bookmarkEnd w:id="0"/>
    </w:tbl>
    <w:p w14:paraId="2ED71A10" w14:textId="0F6C113A" w:rsidR="001635BA" w:rsidRPr="00EA0172" w:rsidRDefault="001635BA" w:rsidP="001635BA">
      <w:pPr>
        <w:spacing w:line="276" w:lineRule="auto"/>
      </w:pPr>
    </w:p>
    <w:tbl>
      <w:tblPr>
        <w:tblW w:w="534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13"/>
        <w:gridCol w:w="3214"/>
      </w:tblGrid>
      <w:tr w:rsidR="007B4209" w:rsidRPr="00EA0172" w14:paraId="3020B58F" w14:textId="77777777" w:rsidTr="00910A0D">
        <w:trPr>
          <w:trHeight w:val="1228"/>
        </w:trPr>
        <w:tc>
          <w:tcPr>
            <w:tcW w:w="1666" w:type="pct"/>
            <w:shd w:val="clear" w:color="auto" w:fill="D9E2F3"/>
            <w:vAlign w:val="center"/>
          </w:tcPr>
          <w:p w14:paraId="0D0FA96A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666" w:type="pct"/>
            <w:shd w:val="clear" w:color="auto" w:fill="D9E2F3"/>
            <w:vAlign w:val="center"/>
          </w:tcPr>
          <w:p w14:paraId="2CE2F391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667" w:type="pct"/>
            <w:shd w:val="clear" w:color="auto" w:fill="D9E2F3"/>
            <w:vAlign w:val="center"/>
          </w:tcPr>
          <w:p w14:paraId="19A6D406" w14:textId="20E3FBCD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Permohonan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Kolum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ini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boleh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diabaikan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sekiranya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tidak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7B4209" w:rsidRPr="00EA0172" w14:paraId="02A71134" w14:textId="77777777" w:rsidTr="00910A0D">
        <w:trPr>
          <w:trHeight w:val="2126"/>
        </w:trPr>
        <w:tc>
          <w:tcPr>
            <w:tcW w:w="1666" w:type="pct"/>
            <w:shd w:val="clear" w:color="auto" w:fill="auto"/>
          </w:tcPr>
          <w:p w14:paraId="71E1FE72" w14:textId="75FCAE49" w:rsidR="001635BA" w:rsidRPr="004101FF" w:rsidRDefault="00B55D08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20EAC">
              <w:rPr>
                <w:noProof/>
                <w:w w:val="95"/>
              </w:rPr>
              <w:drawing>
                <wp:anchor distT="0" distB="0" distL="114300" distR="114300" simplePos="0" relativeHeight="251659264" behindDoc="0" locked="0" layoutInCell="1" allowOverlap="1" wp14:anchorId="675246A0" wp14:editId="18B32BD4">
                  <wp:simplePos x="0" y="0"/>
                  <wp:positionH relativeFrom="column">
                    <wp:posOffset>-111125</wp:posOffset>
                  </wp:positionH>
                  <wp:positionV relativeFrom="paragraph">
                    <wp:posOffset>-125730</wp:posOffset>
                  </wp:positionV>
                  <wp:extent cx="1397000" cy="139700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6DC406-43F5-407F-AE2D-D0189221080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566DC406-43F5-407F-AE2D-D0189221080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35BA" w:rsidRPr="004101FF">
              <w:rPr>
                <w:rFonts w:eastAsia="MS Mincho"/>
                <w:b/>
                <w:bCs/>
                <w:sz w:val="22"/>
                <w:szCs w:val="22"/>
              </w:rPr>
              <w:t>DISEDIAKAN OLEH:</w:t>
            </w:r>
          </w:p>
          <w:p w14:paraId="05EB50E8" w14:textId="0A28683C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1EF12FA6" w14:textId="5D46EFDC" w:rsidR="0078226F" w:rsidRDefault="0078226F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464BA421" w14:textId="0DA31C38" w:rsidR="004101FF" w:rsidRPr="004101FF" w:rsidRDefault="004101FF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2F8B8091" w14:textId="77777777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15CFFB91" w14:textId="1489A8B2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NAMA PEMOHON</w:t>
            </w:r>
          </w:p>
          <w:p w14:paraId="0019800C" w14:textId="28BF1193" w:rsidR="00BB0025" w:rsidRPr="004101FF" w:rsidRDefault="00BB0025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 xml:space="preserve">Mohd Zulkifly </w:t>
            </w:r>
            <w:r w:rsidR="00163DA6">
              <w:rPr>
                <w:rFonts w:eastAsia="MS Mincho"/>
                <w:b/>
                <w:bCs/>
                <w:sz w:val="22"/>
                <w:szCs w:val="22"/>
              </w:rPr>
              <w:t xml:space="preserve">Che Mohd </w:t>
            </w:r>
            <w:r w:rsidRPr="004101FF">
              <w:rPr>
                <w:rFonts w:eastAsia="MS Mincho"/>
                <w:b/>
                <w:bCs/>
                <w:sz w:val="22"/>
                <w:szCs w:val="22"/>
              </w:rPr>
              <w:t>Rawawi</w:t>
            </w:r>
          </w:p>
          <w:p w14:paraId="66F2A8B0" w14:textId="2474CEC4" w:rsidR="001635BA" w:rsidRDefault="004101FF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 w:rsidRPr="004101FF">
              <w:rPr>
                <w:rFonts w:eastAsia="MS Mincho"/>
                <w:sz w:val="22"/>
                <w:szCs w:val="22"/>
              </w:rPr>
              <w:t>Pengurus</w:t>
            </w:r>
            <w:proofErr w:type="spellEnd"/>
          </w:p>
          <w:p w14:paraId="302CF9EA" w14:textId="77777777" w:rsidR="004101FF" w:rsidRPr="004101FF" w:rsidRDefault="004101FF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063E5EED" w14:textId="31243355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sz w:val="22"/>
                <w:szCs w:val="22"/>
              </w:rPr>
              <w:t>Tarikh</w:t>
            </w:r>
            <w:r w:rsidR="004101FF">
              <w:rPr>
                <w:rFonts w:eastAsia="MS Mincho"/>
                <w:sz w:val="22"/>
                <w:szCs w:val="22"/>
              </w:rPr>
              <w:t xml:space="preserve">:    </w:t>
            </w:r>
            <w:r w:rsidR="004B6B06">
              <w:rPr>
                <w:rFonts w:eastAsia="MS Mincho"/>
              </w:rPr>
              <w:t>31 May</w:t>
            </w:r>
            <w:r w:rsidR="00D52E10">
              <w:rPr>
                <w:rFonts w:eastAsia="MS Mincho"/>
              </w:rPr>
              <w:t xml:space="preserve"> 2023</w:t>
            </w:r>
          </w:p>
        </w:tc>
        <w:tc>
          <w:tcPr>
            <w:tcW w:w="1666" w:type="pct"/>
          </w:tcPr>
          <w:p w14:paraId="21CC6EA9" w14:textId="0579ED24" w:rsidR="001635BA" w:rsidRPr="004101FF" w:rsidRDefault="00C74219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rFonts w:eastAsia="MS Mincho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55679F20" wp14:editId="1053E94A">
                  <wp:simplePos x="0" y="0"/>
                  <wp:positionH relativeFrom="column">
                    <wp:posOffset>9837</wp:posOffset>
                  </wp:positionH>
                  <wp:positionV relativeFrom="paragraph">
                    <wp:posOffset>3081</wp:posOffset>
                  </wp:positionV>
                  <wp:extent cx="1839433" cy="1034682"/>
                  <wp:effectExtent l="0" t="0" r="889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433" cy="10346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35BA" w:rsidRPr="004101FF">
              <w:rPr>
                <w:rFonts w:eastAsia="MS Mincho"/>
                <w:b/>
                <w:bCs/>
                <w:sz w:val="22"/>
                <w:szCs w:val="22"/>
              </w:rPr>
              <w:t>DISEMAK OLEH:</w:t>
            </w:r>
          </w:p>
          <w:p w14:paraId="3ABE0497" w14:textId="10EA3EDA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26C2DB5D" w14:textId="0AEA1048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0346BEC4" w14:textId="77777777" w:rsidR="004101FF" w:rsidRPr="004101FF" w:rsidRDefault="004101FF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79AB21B1" w14:textId="57E6BE70" w:rsidR="0078226F" w:rsidRPr="004101FF" w:rsidRDefault="0078226F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1C6655B4" w14:textId="1B078E4E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NAMA PENYELIA</w:t>
            </w:r>
          </w:p>
          <w:p w14:paraId="0C2A445C" w14:textId="77777777" w:rsidR="00163DA6" w:rsidRDefault="00434BE1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34BE1">
              <w:rPr>
                <w:rFonts w:eastAsia="MS Mincho"/>
                <w:b/>
                <w:bCs/>
                <w:sz w:val="22"/>
                <w:szCs w:val="22"/>
              </w:rPr>
              <w:t>Mohd Khairil Anuar Amir Hamzah</w:t>
            </w:r>
          </w:p>
          <w:p w14:paraId="52125F5A" w14:textId="12D6EEE7" w:rsidR="004101FF" w:rsidRPr="00163DA6" w:rsidRDefault="00163DA6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 w:rsidRPr="00163DA6">
              <w:rPr>
                <w:rFonts w:eastAsia="MS Mincho"/>
                <w:sz w:val="22"/>
                <w:szCs w:val="22"/>
              </w:rPr>
              <w:t>Pengurus</w:t>
            </w:r>
            <w:proofErr w:type="spellEnd"/>
            <w:r w:rsidRPr="00163DA6">
              <w:rPr>
                <w:rFonts w:eastAsia="MS Mincho"/>
                <w:sz w:val="22"/>
                <w:szCs w:val="22"/>
              </w:rPr>
              <w:t xml:space="preserve"> Kanan</w:t>
            </w:r>
          </w:p>
          <w:p w14:paraId="73B93D62" w14:textId="77777777" w:rsidR="004101FF" w:rsidRPr="004101FF" w:rsidRDefault="004101FF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5F0A39EE" w14:textId="18F42FC9" w:rsidR="001635BA" w:rsidRPr="004101FF" w:rsidRDefault="001635BA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4101FF">
              <w:rPr>
                <w:rFonts w:eastAsia="MS Mincho"/>
                <w:sz w:val="22"/>
                <w:szCs w:val="22"/>
              </w:rPr>
              <w:t>Tarikh</w:t>
            </w:r>
            <w:r w:rsidR="004101FF">
              <w:rPr>
                <w:rFonts w:eastAsia="MS Mincho"/>
                <w:sz w:val="22"/>
                <w:szCs w:val="22"/>
              </w:rPr>
              <w:t xml:space="preserve">:     </w:t>
            </w:r>
            <w:r w:rsidR="004B6B06">
              <w:rPr>
                <w:rFonts w:eastAsia="MS Mincho"/>
              </w:rPr>
              <w:t>31 May</w:t>
            </w:r>
            <w:r w:rsidR="00D52E10">
              <w:rPr>
                <w:rFonts w:eastAsia="MS Mincho"/>
              </w:rPr>
              <w:t xml:space="preserve"> 2023</w:t>
            </w:r>
          </w:p>
        </w:tc>
        <w:tc>
          <w:tcPr>
            <w:tcW w:w="1667" w:type="pct"/>
          </w:tcPr>
          <w:p w14:paraId="265D4FC8" w14:textId="53F5F300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DISAHKAN OLEH:</w:t>
            </w:r>
          </w:p>
          <w:p w14:paraId="64CA69D8" w14:textId="35388AC6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553090FD" w14:textId="2DE5D36A" w:rsidR="0078226F" w:rsidRDefault="0078226F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77F593F0" w14:textId="5987E68C" w:rsidR="004101FF" w:rsidRPr="004101FF" w:rsidRDefault="004101FF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444B7A88" w14:textId="77777777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1EA87EF0" w14:textId="1ECB1601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NAMA PENGARAH</w:t>
            </w:r>
          </w:p>
          <w:p w14:paraId="4786E24D" w14:textId="51BA85E1" w:rsidR="00BB0025" w:rsidRPr="004101FF" w:rsidRDefault="00176DA5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rFonts w:eastAsia="MS Mincho"/>
                <w:b/>
                <w:bCs/>
                <w:sz w:val="22"/>
                <w:szCs w:val="22"/>
              </w:rPr>
              <w:t xml:space="preserve">Mohammed Alamin </w:t>
            </w:r>
            <w:r w:rsidR="00A863C1">
              <w:rPr>
                <w:rFonts w:eastAsia="MS Mincho"/>
                <w:b/>
                <w:bCs/>
                <w:sz w:val="22"/>
                <w:szCs w:val="22"/>
              </w:rPr>
              <w:t xml:space="preserve">bin </w:t>
            </w:r>
            <w:r>
              <w:rPr>
                <w:rFonts w:eastAsia="MS Mincho"/>
                <w:b/>
                <w:bCs/>
                <w:sz w:val="22"/>
                <w:szCs w:val="22"/>
              </w:rPr>
              <w:t>Rehan</w:t>
            </w:r>
            <w:r w:rsidR="00BB0025" w:rsidRPr="004101FF">
              <w:rPr>
                <w:rFonts w:eastAsia="MS Mincho"/>
                <w:b/>
                <w:bCs/>
                <w:sz w:val="22"/>
                <w:szCs w:val="22"/>
              </w:rPr>
              <w:t xml:space="preserve"> </w:t>
            </w:r>
          </w:p>
          <w:p w14:paraId="411A7443" w14:textId="1CD120D5" w:rsidR="001635BA" w:rsidRDefault="004101FF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 w:rsidRPr="004101FF">
              <w:rPr>
                <w:rFonts w:eastAsia="MS Mincho"/>
                <w:sz w:val="22"/>
                <w:szCs w:val="22"/>
              </w:rPr>
              <w:t>Pengarah</w:t>
            </w:r>
            <w:proofErr w:type="spellEnd"/>
          </w:p>
          <w:p w14:paraId="1DE53F28" w14:textId="77777777" w:rsidR="004101FF" w:rsidRPr="004101FF" w:rsidRDefault="004101FF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362348A7" w14:textId="580B13F0" w:rsidR="001635BA" w:rsidRPr="004101FF" w:rsidRDefault="001635BA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4101FF">
              <w:rPr>
                <w:rFonts w:eastAsia="MS Mincho"/>
                <w:sz w:val="22"/>
                <w:szCs w:val="22"/>
              </w:rPr>
              <w:t>Tarikh</w:t>
            </w:r>
            <w:r w:rsidR="004101FF">
              <w:rPr>
                <w:rFonts w:eastAsia="MS Mincho"/>
                <w:sz w:val="22"/>
                <w:szCs w:val="22"/>
              </w:rPr>
              <w:t xml:space="preserve">:    </w:t>
            </w:r>
            <w:r w:rsidR="004B6B06">
              <w:rPr>
                <w:rFonts w:eastAsia="MS Mincho"/>
              </w:rPr>
              <w:t>31 May</w:t>
            </w:r>
            <w:r w:rsidR="00D52E10">
              <w:rPr>
                <w:rFonts w:eastAsia="MS Mincho"/>
              </w:rPr>
              <w:t xml:space="preserve"> 2023</w:t>
            </w:r>
            <w:r w:rsidR="004732E0">
              <w:rPr>
                <w:rFonts w:eastAsia="MS Mincho"/>
                <w:sz w:val="22"/>
                <w:szCs w:val="22"/>
              </w:rPr>
              <w:t xml:space="preserve"> </w:t>
            </w:r>
          </w:p>
        </w:tc>
      </w:tr>
      <w:bookmarkEnd w:id="1"/>
    </w:tbl>
    <w:p w14:paraId="0F1409BF" w14:textId="77777777" w:rsidR="00337B92" w:rsidRDefault="00337B92" w:rsidP="005B2582"/>
    <w:sectPr w:rsidR="00337B92" w:rsidSect="00C75A20">
      <w:headerReference w:type="default" r:id="rId10"/>
      <w:foot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96BAD" w14:textId="77777777" w:rsidR="008C7511" w:rsidRDefault="008C7511" w:rsidP="00965EDD">
      <w:r>
        <w:separator/>
      </w:r>
    </w:p>
  </w:endnote>
  <w:endnote w:type="continuationSeparator" w:id="0">
    <w:p w14:paraId="3F2CA41B" w14:textId="77777777" w:rsidR="008C7511" w:rsidRDefault="008C7511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1D43D" w14:textId="77777777" w:rsidR="00577E7B" w:rsidRDefault="009462EE">
    <w:pPr>
      <w:pStyle w:val="BodyText"/>
      <w:spacing w:line="14" w:lineRule="auto"/>
      <w:rPr>
        <w:sz w:val="20"/>
      </w:rPr>
    </w:pPr>
    <w:r>
      <w:pict w14:anchorId="2D2D36CE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291.65pt;margin-top:779.95pt;width:13.1pt;height:14pt;z-index:-251658752;mso-position-horizontal-relative:page;mso-position-vertical-relative:page" filled="f" stroked="f">
          <v:textbox inset="0,0,0,0">
            <w:txbxContent>
              <w:p w14:paraId="09B8FA1A" w14:textId="77777777" w:rsidR="00577E7B" w:rsidRDefault="00577E7B">
                <w:pPr>
                  <w:spacing w:line="26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00A3B" w14:textId="77777777" w:rsidR="008C7511" w:rsidRDefault="008C7511" w:rsidP="00965EDD">
      <w:r>
        <w:separator/>
      </w:r>
    </w:p>
  </w:footnote>
  <w:footnote w:type="continuationSeparator" w:id="0">
    <w:p w14:paraId="6BA8E1ED" w14:textId="77777777" w:rsidR="008C7511" w:rsidRDefault="008C7511" w:rsidP="00965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01E" w14:textId="7407D1F7" w:rsidR="00577E7B" w:rsidRDefault="00577E7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83C43"/>
    <w:multiLevelType w:val="hybridMultilevel"/>
    <w:tmpl w:val="149E702A"/>
    <w:lvl w:ilvl="0" w:tplc="44090019">
      <w:start w:val="1"/>
      <w:numFmt w:val="lowerLetter"/>
      <w:lvlText w:val="%1."/>
      <w:lvlJc w:val="left"/>
      <w:pPr>
        <w:ind w:left="706" w:hanging="360"/>
      </w:pPr>
    </w:lvl>
    <w:lvl w:ilvl="1" w:tplc="44090019" w:tentative="1">
      <w:start w:val="1"/>
      <w:numFmt w:val="lowerLetter"/>
      <w:lvlText w:val="%2."/>
      <w:lvlJc w:val="left"/>
      <w:pPr>
        <w:ind w:left="1426" w:hanging="360"/>
      </w:pPr>
    </w:lvl>
    <w:lvl w:ilvl="2" w:tplc="4409001B" w:tentative="1">
      <w:start w:val="1"/>
      <w:numFmt w:val="lowerRoman"/>
      <w:lvlText w:val="%3."/>
      <w:lvlJc w:val="right"/>
      <w:pPr>
        <w:ind w:left="2146" w:hanging="180"/>
      </w:pPr>
    </w:lvl>
    <w:lvl w:ilvl="3" w:tplc="4409000F" w:tentative="1">
      <w:start w:val="1"/>
      <w:numFmt w:val="decimal"/>
      <w:lvlText w:val="%4."/>
      <w:lvlJc w:val="left"/>
      <w:pPr>
        <w:ind w:left="2866" w:hanging="360"/>
      </w:pPr>
    </w:lvl>
    <w:lvl w:ilvl="4" w:tplc="44090019" w:tentative="1">
      <w:start w:val="1"/>
      <w:numFmt w:val="lowerLetter"/>
      <w:lvlText w:val="%5."/>
      <w:lvlJc w:val="left"/>
      <w:pPr>
        <w:ind w:left="3586" w:hanging="360"/>
      </w:pPr>
    </w:lvl>
    <w:lvl w:ilvl="5" w:tplc="4409001B" w:tentative="1">
      <w:start w:val="1"/>
      <w:numFmt w:val="lowerRoman"/>
      <w:lvlText w:val="%6."/>
      <w:lvlJc w:val="right"/>
      <w:pPr>
        <w:ind w:left="4306" w:hanging="180"/>
      </w:pPr>
    </w:lvl>
    <w:lvl w:ilvl="6" w:tplc="4409000F" w:tentative="1">
      <w:start w:val="1"/>
      <w:numFmt w:val="decimal"/>
      <w:lvlText w:val="%7."/>
      <w:lvlJc w:val="left"/>
      <w:pPr>
        <w:ind w:left="5026" w:hanging="360"/>
      </w:pPr>
    </w:lvl>
    <w:lvl w:ilvl="7" w:tplc="44090019" w:tentative="1">
      <w:start w:val="1"/>
      <w:numFmt w:val="lowerLetter"/>
      <w:lvlText w:val="%8."/>
      <w:lvlJc w:val="left"/>
      <w:pPr>
        <w:ind w:left="5746" w:hanging="360"/>
      </w:pPr>
    </w:lvl>
    <w:lvl w:ilvl="8" w:tplc="4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" w15:restartNumberingAfterBreak="0">
    <w:nsid w:val="120B6443"/>
    <w:multiLevelType w:val="hybridMultilevel"/>
    <w:tmpl w:val="45E86A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F340E9"/>
    <w:multiLevelType w:val="hybridMultilevel"/>
    <w:tmpl w:val="B4548B3E"/>
    <w:lvl w:ilvl="0" w:tplc="4B161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D0BF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D61E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0824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46F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58F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8E5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F866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4449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84B01"/>
    <w:multiLevelType w:val="hybridMultilevel"/>
    <w:tmpl w:val="534033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D2D85"/>
    <w:multiLevelType w:val="hybridMultilevel"/>
    <w:tmpl w:val="1EDE928A"/>
    <w:lvl w:ilvl="0" w:tplc="44090019">
      <w:start w:val="1"/>
      <w:numFmt w:val="lowerLetter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2953F6"/>
    <w:multiLevelType w:val="hybridMultilevel"/>
    <w:tmpl w:val="A1363E6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B446B1"/>
    <w:multiLevelType w:val="hybridMultilevel"/>
    <w:tmpl w:val="4A18F9B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0CF0B2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40FC3"/>
    <w:multiLevelType w:val="hybridMultilevel"/>
    <w:tmpl w:val="4A18F9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DF15C0"/>
    <w:multiLevelType w:val="hybridMultilevel"/>
    <w:tmpl w:val="4970C91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1EBAE9"/>
    <w:multiLevelType w:val="hybridMultilevel"/>
    <w:tmpl w:val="5DBD92CA"/>
    <w:lvl w:ilvl="0" w:tplc="FFFFFFFF">
      <w:start w:val="1"/>
      <w:numFmt w:val="ideographDigital"/>
      <w:lvlText w:val=""/>
      <w:lvlJc w:val="left"/>
    </w:lvl>
    <w:lvl w:ilvl="1" w:tplc="DF828BB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C266F67"/>
    <w:multiLevelType w:val="hybridMultilevel"/>
    <w:tmpl w:val="688AF85E"/>
    <w:lvl w:ilvl="0" w:tplc="500414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41412A"/>
    <w:multiLevelType w:val="hybridMultilevel"/>
    <w:tmpl w:val="45E86A8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F0452C"/>
    <w:multiLevelType w:val="hybridMultilevel"/>
    <w:tmpl w:val="C0D41DB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35032B"/>
    <w:multiLevelType w:val="hybridMultilevel"/>
    <w:tmpl w:val="FE04A08E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50076C"/>
    <w:multiLevelType w:val="hybridMultilevel"/>
    <w:tmpl w:val="C504D9F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E6CDD"/>
    <w:multiLevelType w:val="hybridMultilevel"/>
    <w:tmpl w:val="70F01D72"/>
    <w:lvl w:ilvl="0" w:tplc="0B52A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E89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B88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2D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D00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ACB1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B62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4F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1C6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95581349">
    <w:abstractNumId w:val="0"/>
  </w:num>
  <w:num w:numId="2" w16cid:durableId="1100569816">
    <w:abstractNumId w:val="14"/>
  </w:num>
  <w:num w:numId="3" w16cid:durableId="1840004600">
    <w:abstractNumId w:val="11"/>
  </w:num>
  <w:num w:numId="4" w16cid:durableId="353263195">
    <w:abstractNumId w:val="10"/>
  </w:num>
  <w:num w:numId="5" w16cid:durableId="582304654">
    <w:abstractNumId w:val="7"/>
  </w:num>
  <w:num w:numId="6" w16cid:durableId="792479705">
    <w:abstractNumId w:val="12"/>
  </w:num>
  <w:num w:numId="7" w16cid:durableId="354699947">
    <w:abstractNumId w:val="4"/>
  </w:num>
  <w:num w:numId="8" w16cid:durableId="58943452">
    <w:abstractNumId w:val="8"/>
  </w:num>
  <w:num w:numId="9" w16cid:durableId="7757354">
    <w:abstractNumId w:val="9"/>
  </w:num>
  <w:num w:numId="10" w16cid:durableId="804159400">
    <w:abstractNumId w:val="3"/>
  </w:num>
  <w:num w:numId="11" w16cid:durableId="1746292832">
    <w:abstractNumId w:val="16"/>
  </w:num>
  <w:num w:numId="12" w16cid:durableId="782460480">
    <w:abstractNumId w:val="2"/>
  </w:num>
  <w:num w:numId="13" w16cid:durableId="1126386261">
    <w:abstractNumId w:val="13"/>
  </w:num>
  <w:num w:numId="14" w16cid:durableId="1438065125">
    <w:abstractNumId w:val="1"/>
  </w:num>
  <w:num w:numId="15" w16cid:durableId="1149714994">
    <w:abstractNumId w:val="5"/>
  </w:num>
  <w:num w:numId="16" w16cid:durableId="1011681462">
    <w:abstractNumId w:val="15"/>
  </w:num>
  <w:num w:numId="17" w16cid:durableId="1906800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1714"/>
    <w:rsid w:val="00001E0E"/>
    <w:rsid w:val="00003B85"/>
    <w:rsid w:val="00021E3F"/>
    <w:rsid w:val="00025EB9"/>
    <w:rsid w:val="00026EA7"/>
    <w:rsid w:val="00033346"/>
    <w:rsid w:val="00035DAB"/>
    <w:rsid w:val="0004004F"/>
    <w:rsid w:val="00045148"/>
    <w:rsid w:val="000463A0"/>
    <w:rsid w:val="00056213"/>
    <w:rsid w:val="0006509A"/>
    <w:rsid w:val="0006666E"/>
    <w:rsid w:val="0007408E"/>
    <w:rsid w:val="00074538"/>
    <w:rsid w:val="00074572"/>
    <w:rsid w:val="0008405E"/>
    <w:rsid w:val="000858E7"/>
    <w:rsid w:val="00087198"/>
    <w:rsid w:val="00091667"/>
    <w:rsid w:val="0009671D"/>
    <w:rsid w:val="00097228"/>
    <w:rsid w:val="000A0A4F"/>
    <w:rsid w:val="000A5890"/>
    <w:rsid w:val="000B03EF"/>
    <w:rsid w:val="000C512E"/>
    <w:rsid w:val="000D03A2"/>
    <w:rsid w:val="000D16E6"/>
    <w:rsid w:val="000D2B31"/>
    <w:rsid w:val="000D3A33"/>
    <w:rsid w:val="000E36B9"/>
    <w:rsid w:val="000F1E4A"/>
    <w:rsid w:val="000F3130"/>
    <w:rsid w:val="00101220"/>
    <w:rsid w:val="001015C5"/>
    <w:rsid w:val="00103F32"/>
    <w:rsid w:val="0010536F"/>
    <w:rsid w:val="001054D8"/>
    <w:rsid w:val="00106CE7"/>
    <w:rsid w:val="00113FF4"/>
    <w:rsid w:val="001162BD"/>
    <w:rsid w:val="0012144D"/>
    <w:rsid w:val="00122619"/>
    <w:rsid w:val="001234DD"/>
    <w:rsid w:val="0012755D"/>
    <w:rsid w:val="00127CDE"/>
    <w:rsid w:val="00131C74"/>
    <w:rsid w:val="00140D7E"/>
    <w:rsid w:val="001447B9"/>
    <w:rsid w:val="00154173"/>
    <w:rsid w:val="001635BA"/>
    <w:rsid w:val="0016388A"/>
    <w:rsid w:val="00163DA6"/>
    <w:rsid w:val="00165368"/>
    <w:rsid w:val="00170BB1"/>
    <w:rsid w:val="001724DC"/>
    <w:rsid w:val="00176DA5"/>
    <w:rsid w:val="0018183B"/>
    <w:rsid w:val="00191108"/>
    <w:rsid w:val="00195231"/>
    <w:rsid w:val="001A0C44"/>
    <w:rsid w:val="001B12C0"/>
    <w:rsid w:val="001B294F"/>
    <w:rsid w:val="001C3A50"/>
    <w:rsid w:val="001C68B0"/>
    <w:rsid w:val="001C790A"/>
    <w:rsid w:val="001F0E7A"/>
    <w:rsid w:val="001F7B3E"/>
    <w:rsid w:val="0020370C"/>
    <w:rsid w:val="0020423D"/>
    <w:rsid w:val="00204FE4"/>
    <w:rsid w:val="00211235"/>
    <w:rsid w:val="00211956"/>
    <w:rsid w:val="002156AB"/>
    <w:rsid w:val="00221DDA"/>
    <w:rsid w:val="00223026"/>
    <w:rsid w:val="00223DFA"/>
    <w:rsid w:val="00224723"/>
    <w:rsid w:val="00226AC8"/>
    <w:rsid w:val="002338E1"/>
    <w:rsid w:val="00235E41"/>
    <w:rsid w:val="002364F1"/>
    <w:rsid w:val="00243B45"/>
    <w:rsid w:val="00247906"/>
    <w:rsid w:val="002540EE"/>
    <w:rsid w:val="002578FC"/>
    <w:rsid w:val="0026501E"/>
    <w:rsid w:val="002705AC"/>
    <w:rsid w:val="00297B23"/>
    <w:rsid w:val="002B01E5"/>
    <w:rsid w:val="002B4299"/>
    <w:rsid w:val="002B46E3"/>
    <w:rsid w:val="002C070B"/>
    <w:rsid w:val="002C5EA2"/>
    <w:rsid w:val="002C7DC6"/>
    <w:rsid w:val="002D1E82"/>
    <w:rsid w:val="002D3497"/>
    <w:rsid w:val="002D75C6"/>
    <w:rsid w:val="002E3689"/>
    <w:rsid w:val="00306EE0"/>
    <w:rsid w:val="00307E6E"/>
    <w:rsid w:val="00314BC6"/>
    <w:rsid w:val="003159B3"/>
    <w:rsid w:val="00320CFD"/>
    <w:rsid w:val="0032354B"/>
    <w:rsid w:val="00325E9B"/>
    <w:rsid w:val="003315D7"/>
    <w:rsid w:val="00336B90"/>
    <w:rsid w:val="00337B92"/>
    <w:rsid w:val="00342089"/>
    <w:rsid w:val="00342360"/>
    <w:rsid w:val="00345AA6"/>
    <w:rsid w:val="00351624"/>
    <w:rsid w:val="00360D50"/>
    <w:rsid w:val="0036120A"/>
    <w:rsid w:val="0036378C"/>
    <w:rsid w:val="00364B09"/>
    <w:rsid w:val="0037176B"/>
    <w:rsid w:val="003725A8"/>
    <w:rsid w:val="003729EB"/>
    <w:rsid w:val="00374DAE"/>
    <w:rsid w:val="00383925"/>
    <w:rsid w:val="00385B77"/>
    <w:rsid w:val="003907A1"/>
    <w:rsid w:val="00394E42"/>
    <w:rsid w:val="00395FC0"/>
    <w:rsid w:val="00396371"/>
    <w:rsid w:val="003A5DD3"/>
    <w:rsid w:val="003A6313"/>
    <w:rsid w:val="003A6C3D"/>
    <w:rsid w:val="003C4A76"/>
    <w:rsid w:val="003C4BEF"/>
    <w:rsid w:val="003C7BFD"/>
    <w:rsid w:val="003D2D52"/>
    <w:rsid w:val="003D7E50"/>
    <w:rsid w:val="003E1508"/>
    <w:rsid w:val="003E2E54"/>
    <w:rsid w:val="003F4D1D"/>
    <w:rsid w:val="003F7664"/>
    <w:rsid w:val="0040346C"/>
    <w:rsid w:val="00405DD5"/>
    <w:rsid w:val="004101FF"/>
    <w:rsid w:val="004212D3"/>
    <w:rsid w:val="004241DD"/>
    <w:rsid w:val="004247D7"/>
    <w:rsid w:val="00427671"/>
    <w:rsid w:val="00434BE1"/>
    <w:rsid w:val="00435B85"/>
    <w:rsid w:val="00436781"/>
    <w:rsid w:val="004401F2"/>
    <w:rsid w:val="004402C4"/>
    <w:rsid w:val="00453341"/>
    <w:rsid w:val="00455047"/>
    <w:rsid w:val="00463AB1"/>
    <w:rsid w:val="00466522"/>
    <w:rsid w:val="00472070"/>
    <w:rsid w:val="004732E0"/>
    <w:rsid w:val="00475286"/>
    <w:rsid w:val="00481784"/>
    <w:rsid w:val="00492C60"/>
    <w:rsid w:val="00494926"/>
    <w:rsid w:val="004A0398"/>
    <w:rsid w:val="004A106D"/>
    <w:rsid w:val="004B034E"/>
    <w:rsid w:val="004B63B9"/>
    <w:rsid w:val="004B6B06"/>
    <w:rsid w:val="004C5921"/>
    <w:rsid w:val="004C6CDB"/>
    <w:rsid w:val="004D0CCA"/>
    <w:rsid w:val="004D5535"/>
    <w:rsid w:val="004E7032"/>
    <w:rsid w:val="004E78F3"/>
    <w:rsid w:val="004F2978"/>
    <w:rsid w:val="005012E3"/>
    <w:rsid w:val="00501DD9"/>
    <w:rsid w:val="0051137E"/>
    <w:rsid w:val="00513EF6"/>
    <w:rsid w:val="00523CBA"/>
    <w:rsid w:val="005272EF"/>
    <w:rsid w:val="00535705"/>
    <w:rsid w:val="00536670"/>
    <w:rsid w:val="00541B23"/>
    <w:rsid w:val="00556A68"/>
    <w:rsid w:val="0056072C"/>
    <w:rsid w:val="00565D85"/>
    <w:rsid w:val="00570C38"/>
    <w:rsid w:val="00572C97"/>
    <w:rsid w:val="00577E6C"/>
    <w:rsid w:val="00577E7B"/>
    <w:rsid w:val="00580072"/>
    <w:rsid w:val="00586636"/>
    <w:rsid w:val="0059426C"/>
    <w:rsid w:val="00597F63"/>
    <w:rsid w:val="005A0C5A"/>
    <w:rsid w:val="005A77B0"/>
    <w:rsid w:val="005B2582"/>
    <w:rsid w:val="005C54D7"/>
    <w:rsid w:val="005C6F87"/>
    <w:rsid w:val="005D60F4"/>
    <w:rsid w:val="005E1B4E"/>
    <w:rsid w:val="005E3BC9"/>
    <w:rsid w:val="005F2A58"/>
    <w:rsid w:val="005F364C"/>
    <w:rsid w:val="005F6845"/>
    <w:rsid w:val="00600925"/>
    <w:rsid w:val="006077FA"/>
    <w:rsid w:val="00620404"/>
    <w:rsid w:val="00622718"/>
    <w:rsid w:val="0062593E"/>
    <w:rsid w:val="00633195"/>
    <w:rsid w:val="00636754"/>
    <w:rsid w:val="0064351D"/>
    <w:rsid w:val="00646353"/>
    <w:rsid w:val="006465D6"/>
    <w:rsid w:val="00647F62"/>
    <w:rsid w:val="00651B03"/>
    <w:rsid w:val="00661843"/>
    <w:rsid w:val="00664A0D"/>
    <w:rsid w:val="00664EA2"/>
    <w:rsid w:val="00673550"/>
    <w:rsid w:val="00682973"/>
    <w:rsid w:val="00685B57"/>
    <w:rsid w:val="006A3A85"/>
    <w:rsid w:val="006B4470"/>
    <w:rsid w:val="006B7E71"/>
    <w:rsid w:val="006D4486"/>
    <w:rsid w:val="006D457B"/>
    <w:rsid w:val="006D5522"/>
    <w:rsid w:val="006E4AB7"/>
    <w:rsid w:val="006F3E3D"/>
    <w:rsid w:val="00702DAD"/>
    <w:rsid w:val="00703195"/>
    <w:rsid w:val="00703AD8"/>
    <w:rsid w:val="00705470"/>
    <w:rsid w:val="00705C43"/>
    <w:rsid w:val="007060ED"/>
    <w:rsid w:val="00707546"/>
    <w:rsid w:val="00711960"/>
    <w:rsid w:val="00711EBD"/>
    <w:rsid w:val="0071473F"/>
    <w:rsid w:val="007237A0"/>
    <w:rsid w:val="00724645"/>
    <w:rsid w:val="007313AA"/>
    <w:rsid w:val="00750611"/>
    <w:rsid w:val="00751DD1"/>
    <w:rsid w:val="00753BCA"/>
    <w:rsid w:val="00754E2A"/>
    <w:rsid w:val="00757B93"/>
    <w:rsid w:val="00757F71"/>
    <w:rsid w:val="00760A39"/>
    <w:rsid w:val="00765E79"/>
    <w:rsid w:val="00766C25"/>
    <w:rsid w:val="0076724D"/>
    <w:rsid w:val="0076740B"/>
    <w:rsid w:val="00770539"/>
    <w:rsid w:val="00770F15"/>
    <w:rsid w:val="00774345"/>
    <w:rsid w:val="007761C2"/>
    <w:rsid w:val="0078226F"/>
    <w:rsid w:val="00787851"/>
    <w:rsid w:val="0079755B"/>
    <w:rsid w:val="007B1650"/>
    <w:rsid w:val="007B3D27"/>
    <w:rsid w:val="007B4209"/>
    <w:rsid w:val="007B4C4B"/>
    <w:rsid w:val="007B7436"/>
    <w:rsid w:val="007C127D"/>
    <w:rsid w:val="007C6523"/>
    <w:rsid w:val="007D150E"/>
    <w:rsid w:val="007D2CEC"/>
    <w:rsid w:val="007D4B2B"/>
    <w:rsid w:val="007D4C26"/>
    <w:rsid w:val="007D54AC"/>
    <w:rsid w:val="007E6621"/>
    <w:rsid w:val="007F3465"/>
    <w:rsid w:val="007F50AB"/>
    <w:rsid w:val="00802873"/>
    <w:rsid w:val="00806777"/>
    <w:rsid w:val="0080781E"/>
    <w:rsid w:val="0083692A"/>
    <w:rsid w:val="00841D92"/>
    <w:rsid w:val="00850A72"/>
    <w:rsid w:val="00857AF1"/>
    <w:rsid w:val="00865C32"/>
    <w:rsid w:val="00866FEB"/>
    <w:rsid w:val="0087163D"/>
    <w:rsid w:val="00877ED8"/>
    <w:rsid w:val="00881384"/>
    <w:rsid w:val="008A1A90"/>
    <w:rsid w:val="008A1C48"/>
    <w:rsid w:val="008A2104"/>
    <w:rsid w:val="008A2515"/>
    <w:rsid w:val="008A3C8A"/>
    <w:rsid w:val="008A783B"/>
    <w:rsid w:val="008B17ED"/>
    <w:rsid w:val="008B5381"/>
    <w:rsid w:val="008B5E6A"/>
    <w:rsid w:val="008B70C7"/>
    <w:rsid w:val="008C2EA8"/>
    <w:rsid w:val="008C44BA"/>
    <w:rsid w:val="008C7511"/>
    <w:rsid w:val="008C7CBE"/>
    <w:rsid w:val="008C7D13"/>
    <w:rsid w:val="008D4AAB"/>
    <w:rsid w:val="008E0C07"/>
    <w:rsid w:val="008F3B11"/>
    <w:rsid w:val="008F4E5E"/>
    <w:rsid w:val="008F5331"/>
    <w:rsid w:val="00900DD3"/>
    <w:rsid w:val="00905FAE"/>
    <w:rsid w:val="00907F09"/>
    <w:rsid w:val="00910A0D"/>
    <w:rsid w:val="00912BA2"/>
    <w:rsid w:val="00914B66"/>
    <w:rsid w:val="00915EF4"/>
    <w:rsid w:val="00917FCD"/>
    <w:rsid w:val="00920BF6"/>
    <w:rsid w:val="0093084F"/>
    <w:rsid w:val="00933E15"/>
    <w:rsid w:val="00940F55"/>
    <w:rsid w:val="00945976"/>
    <w:rsid w:val="009462EE"/>
    <w:rsid w:val="00946B90"/>
    <w:rsid w:val="00947B9F"/>
    <w:rsid w:val="009514FA"/>
    <w:rsid w:val="00953ED4"/>
    <w:rsid w:val="00957F87"/>
    <w:rsid w:val="00964320"/>
    <w:rsid w:val="00964ED3"/>
    <w:rsid w:val="00965EDD"/>
    <w:rsid w:val="00975358"/>
    <w:rsid w:val="00980B82"/>
    <w:rsid w:val="0098146E"/>
    <w:rsid w:val="00982637"/>
    <w:rsid w:val="009836B2"/>
    <w:rsid w:val="00993B0A"/>
    <w:rsid w:val="009A36D0"/>
    <w:rsid w:val="009A3B0A"/>
    <w:rsid w:val="009A54DE"/>
    <w:rsid w:val="009B064B"/>
    <w:rsid w:val="009B2EF4"/>
    <w:rsid w:val="009B736B"/>
    <w:rsid w:val="009C030B"/>
    <w:rsid w:val="009C427E"/>
    <w:rsid w:val="009E4781"/>
    <w:rsid w:val="009E5459"/>
    <w:rsid w:val="009F00E7"/>
    <w:rsid w:val="009F499E"/>
    <w:rsid w:val="009F77C2"/>
    <w:rsid w:val="00A01E1C"/>
    <w:rsid w:val="00A052FE"/>
    <w:rsid w:val="00A05D73"/>
    <w:rsid w:val="00A071C3"/>
    <w:rsid w:val="00A112A6"/>
    <w:rsid w:val="00A11B75"/>
    <w:rsid w:val="00A1326A"/>
    <w:rsid w:val="00A1724F"/>
    <w:rsid w:val="00A21340"/>
    <w:rsid w:val="00A2171D"/>
    <w:rsid w:val="00A21D14"/>
    <w:rsid w:val="00A41CFA"/>
    <w:rsid w:val="00A43741"/>
    <w:rsid w:val="00A56933"/>
    <w:rsid w:val="00A62A99"/>
    <w:rsid w:val="00A62C47"/>
    <w:rsid w:val="00A635BE"/>
    <w:rsid w:val="00A63A77"/>
    <w:rsid w:val="00A64807"/>
    <w:rsid w:val="00A71CE2"/>
    <w:rsid w:val="00A735E8"/>
    <w:rsid w:val="00A74232"/>
    <w:rsid w:val="00A756C2"/>
    <w:rsid w:val="00A77939"/>
    <w:rsid w:val="00A84887"/>
    <w:rsid w:val="00A85DD0"/>
    <w:rsid w:val="00A863C1"/>
    <w:rsid w:val="00A91305"/>
    <w:rsid w:val="00AA1E17"/>
    <w:rsid w:val="00AA2A04"/>
    <w:rsid w:val="00AA455A"/>
    <w:rsid w:val="00AA67BB"/>
    <w:rsid w:val="00AA6A61"/>
    <w:rsid w:val="00AA7B40"/>
    <w:rsid w:val="00AB0F96"/>
    <w:rsid w:val="00AB1E4B"/>
    <w:rsid w:val="00AB45A7"/>
    <w:rsid w:val="00AB4891"/>
    <w:rsid w:val="00AC11B7"/>
    <w:rsid w:val="00AC2936"/>
    <w:rsid w:val="00AC69BC"/>
    <w:rsid w:val="00AD3043"/>
    <w:rsid w:val="00AD554E"/>
    <w:rsid w:val="00AD7FF1"/>
    <w:rsid w:val="00AE0DAA"/>
    <w:rsid w:val="00AE291B"/>
    <w:rsid w:val="00AE600B"/>
    <w:rsid w:val="00AF29F0"/>
    <w:rsid w:val="00AF2B99"/>
    <w:rsid w:val="00AF5D74"/>
    <w:rsid w:val="00AF7217"/>
    <w:rsid w:val="00B05865"/>
    <w:rsid w:val="00B059E8"/>
    <w:rsid w:val="00B0622C"/>
    <w:rsid w:val="00B10DFC"/>
    <w:rsid w:val="00B2756C"/>
    <w:rsid w:val="00B31E4F"/>
    <w:rsid w:val="00B35759"/>
    <w:rsid w:val="00B41648"/>
    <w:rsid w:val="00B420A7"/>
    <w:rsid w:val="00B457B0"/>
    <w:rsid w:val="00B5121B"/>
    <w:rsid w:val="00B55D08"/>
    <w:rsid w:val="00B627E7"/>
    <w:rsid w:val="00B71E9B"/>
    <w:rsid w:val="00B723C2"/>
    <w:rsid w:val="00B77EB2"/>
    <w:rsid w:val="00B8016A"/>
    <w:rsid w:val="00B86482"/>
    <w:rsid w:val="00B866E2"/>
    <w:rsid w:val="00B87947"/>
    <w:rsid w:val="00BA15B7"/>
    <w:rsid w:val="00BA42BF"/>
    <w:rsid w:val="00BA604C"/>
    <w:rsid w:val="00BA7368"/>
    <w:rsid w:val="00BA7D35"/>
    <w:rsid w:val="00BB0025"/>
    <w:rsid w:val="00BB2064"/>
    <w:rsid w:val="00BB3DE9"/>
    <w:rsid w:val="00BD34BC"/>
    <w:rsid w:val="00BD6D6E"/>
    <w:rsid w:val="00BD772B"/>
    <w:rsid w:val="00BE0F8B"/>
    <w:rsid w:val="00BE2990"/>
    <w:rsid w:val="00BE7183"/>
    <w:rsid w:val="00BF040C"/>
    <w:rsid w:val="00BF341D"/>
    <w:rsid w:val="00BF5B16"/>
    <w:rsid w:val="00C05B0C"/>
    <w:rsid w:val="00C115A7"/>
    <w:rsid w:val="00C12AB6"/>
    <w:rsid w:val="00C14997"/>
    <w:rsid w:val="00C14EAB"/>
    <w:rsid w:val="00C15681"/>
    <w:rsid w:val="00C179E4"/>
    <w:rsid w:val="00C2067E"/>
    <w:rsid w:val="00C24C5A"/>
    <w:rsid w:val="00C27583"/>
    <w:rsid w:val="00C32C44"/>
    <w:rsid w:val="00C33A1E"/>
    <w:rsid w:val="00C41E4F"/>
    <w:rsid w:val="00C54F63"/>
    <w:rsid w:val="00C561C5"/>
    <w:rsid w:val="00C6180F"/>
    <w:rsid w:val="00C61A84"/>
    <w:rsid w:val="00C6594C"/>
    <w:rsid w:val="00C66D75"/>
    <w:rsid w:val="00C70AED"/>
    <w:rsid w:val="00C74219"/>
    <w:rsid w:val="00C75A20"/>
    <w:rsid w:val="00C8130E"/>
    <w:rsid w:val="00C846AD"/>
    <w:rsid w:val="00C86286"/>
    <w:rsid w:val="00C9314D"/>
    <w:rsid w:val="00C966EA"/>
    <w:rsid w:val="00CA17E4"/>
    <w:rsid w:val="00CA7448"/>
    <w:rsid w:val="00CB1271"/>
    <w:rsid w:val="00CB134A"/>
    <w:rsid w:val="00CB57D5"/>
    <w:rsid w:val="00CC223A"/>
    <w:rsid w:val="00CC67DC"/>
    <w:rsid w:val="00CD0B50"/>
    <w:rsid w:val="00CD672D"/>
    <w:rsid w:val="00CE1FAE"/>
    <w:rsid w:val="00CE4574"/>
    <w:rsid w:val="00CF34EA"/>
    <w:rsid w:val="00CF4A83"/>
    <w:rsid w:val="00D108DD"/>
    <w:rsid w:val="00D1720D"/>
    <w:rsid w:val="00D401AF"/>
    <w:rsid w:val="00D437F0"/>
    <w:rsid w:val="00D457E3"/>
    <w:rsid w:val="00D50837"/>
    <w:rsid w:val="00D525F8"/>
    <w:rsid w:val="00D52E10"/>
    <w:rsid w:val="00D5395B"/>
    <w:rsid w:val="00D57D55"/>
    <w:rsid w:val="00D601BC"/>
    <w:rsid w:val="00D60F7D"/>
    <w:rsid w:val="00D7696D"/>
    <w:rsid w:val="00D8548E"/>
    <w:rsid w:val="00D90641"/>
    <w:rsid w:val="00D90D70"/>
    <w:rsid w:val="00D92C5B"/>
    <w:rsid w:val="00D95B30"/>
    <w:rsid w:val="00DB05A3"/>
    <w:rsid w:val="00DB22FB"/>
    <w:rsid w:val="00DB7C2E"/>
    <w:rsid w:val="00DC00EA"/>
    <w:rsid w:val="00DC4495"/>
    <w:rsid w:val="00DC4ED3"/>
    <w:rsid w:val="00DC72CA"/>
    <w:rsid w:val="00DD2AB9"/>
    <w:rsid w:val="00DD667A"/>
    <w:rsid w:val="00DE01D0"/>
    <w:rsid w:val="00DE64E1"/>
    <w:rsid w:val="00DF3863"/>
    <w:rsid w:val="00DF45BD"/>
    <w:rsid w:val="00E05089"/>
    <w:rsid w:val="00E055C3"/>
    <w:rsid w:val="00E12A87"/>
    <w:rsid w:val="00E173DA"/>
    <w:rsid w:val="00E22711"/>
    <w:rsid w:val="00E23E69"/>
    <w:rsid w:val="00E24A62"/>
    <w:rsid w:val="00E34613"/>
    <w:rsid w:val="00E461DB"/>
    <w:rsid w:val="00E62449"/>
    <w:rsid w:val="00E67E6F"/>
    <w:rsid w:val="00E710B8"/>
    <w:rsid w:val="00E75DC2"/>
    <w:rsid w:val="00E80240"/>
    <w:rsid w:val="00E816AB"/>
    <w:rsid w:val="00E819B1"/>
    <w:rsid w:val="00E93BF1"/>
    <w:rsid w:val="00EA0442"/>
    <w:rsid w:val="00EA0917"/>
    <w:rsid w:val="00EA3242"/>
    <w:rsid w:val="00EA3542"/>
    <w:rsid w:val="00EA7FE8"/>
    <w:rsid w:val="00EB15EA"/>
    <w:rsid w:val="00EB3D4A"/>
    <w:rsid w:val="00EB5711"/>
    <w:rsid w:val="00EB5A2B"/>
    <w:rsid w:val="00EC0031"/>
    <w:rsid w:val="00EC4F29"/>
    <w:rsid w:val="00EC5E90"/>
    <w:rsid w:val="00ED07CD"/>
    <w:rsid w:val="00ED34AB"/>
    <w:rsid w:val="00ED3630"/>
    <w:rsid w:val="00ED487A"/>
    <w:rsid w:val="00EE3518"/>
    <w:rsid w:val="00EF0D92"/>
    <w:rsid w:val="00EF1FD8"/>
    <w:rsid w:val="00EF63EE"/>
    <w:rsid w:val="00F060D0"/>
    <w:rsid w:val="00F11997"/>
    <w:rsid w:val="00F120E9"/>
    <w:rsid w:val="00F17FCF"/>
    <w:rsid w:val="00F25BA0"/>
    <w:rsid w:val="00F27C4C"/>
    <w:rsid w:val="00F33505"/>
    <w:rsid w:val="00F3384D"/>
    <w:rsid w:val="00F3628E"/>
    <w:rsid w:val="00F37AEE"/>
    <w:rsid w:val="00F432D3"/>
    <w:rsid w:val="00F53BC4"/>
    <w:rsid w:val="00F63763"/>
    <w:rsid w:val="00F6539D"/>
    <w:rsid w:val="00F715C5"/>
    <w:rsid w:val="00F71E19"/>
    <w:rsid w:val="00F72115"/>
    <w:rsid w:val="00F819A1"/>
    <w:rsid w:val="00F81E74"/>
    <w:rsid w:val="00F83F61"/>
    <w:rsid w:val="00F847A7"/>
    <w:rsid w:val="00F93C59"/>
    <w:rsid w:val="00FA2973"/>
    <w:rsid w:val="00FA78AB"/>
    <w:rsid w:val="00FA7DF7"/>
    <w:rsid w:val="00FB32CB"/>
    <w:rsid w:val="00FC1C0E"/>
    <w:rsid w:val="00FC26FF"/>
    <w:rsid w:val="00FC4BFE"/>
    <w:rsid w:val="00FD2732"/>
    <w:rsid w:val="00FD283B"/>
    <w:rsid w:val="00FF426A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77E7B"/>
    <w:pPr>
      <w:widowControl w:val="0"/>
      <w:autoSpaceDE w:val="0"/>
      <w:autoSpaceDN w:val="0"/>
      <w:ind w:left="28"/>
      <w:outlineLvl w:val="0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customStyle="1" w:styleId="Default">
    <w:name w:val="Default"/>
    <w:rsid w:val="00FA7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4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77E7B"/>
    <w:rPr>
      <w:rFonts w:ascii="Calibri" w:eastAsia="Calibri" w:hAnsi="Calibri" w:cs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577E7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77E7B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577E7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AD7FF1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618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8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Mohd Zulkifly Che Mohd Rawawi</cp:lastModifiedBy>
  <cp:revision>102</cp:revision>
  <cp:lastPrinted>2023-03-07T02:45:00Z</cp:lastPrinted>
  <dcterms:created xsi:type="dcterms:W3CDTF">2023-04-13T07:33:00Z</dcterms:created>
  <dcterms:modified xsi:type="dcterms:W3CDTF">2023-06-02T02:19:00Z</dcterms:modified>
</cp:coreProperties>
</file>