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929"/>
        <w:gridCol w:w="3375"/>
        <w:gridCol w:w="1887"/>
      </w:tblGrid>
      <w:tr w:rsidR="00405AA1" w14:paraId="230AD946" w14:textId="77777777">
        <w:trPr>
          <w:trHeight w:val="506"/>
        </w:trPr>
        <w:tc>
          <w:tcPr>
            <w:tcW w:w="9019" w:type="dxa"/>
            <w:gridSpan w:val="4"/>
          </w:tcPr>
          <w:p w14:paraId="0D824588" w14:textId="77777777" w:rsidR="00405AA1" w:rsidRDefault="00B2620E">
            <w:pPr>
              <w:pStyle w:val="TableParagraph"/>
              <w:ind w:left="2349" w:right="2345"/>
              <w:jc w:val="center"/>
              <w:rPr>
                <w:b/>
              </w:rPr>
            </w:pPr>
            <w:r>
              <w:rPr>
                <w:b/>
              </w:rPr>
              <w:t>OUTREACH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SHEET</w:t>
            </w:r>
          </w:p>
          <w:p w14:paraId="59B22A3A" w14:textId="77777777" w:rsidR="00405AA1" w:rsidRDefault="00B2620E">
            <w:pPr>
              <w:pStyle w:val="TableParagraph"/>
              <w:spacing w:before="1" w:line="232" w:lineRule="exact"/>
              <w:ind w:left="2349" w:right="2340"/>
              <w:jc w:val="center"/>
              <w:rPr>
                <w:b/>
              </w:rPr>
            </w:pPr>
            <w:r>
              <w:rPr>
                <w:b/>
              </w:rPr>
              <w:t>APO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Vision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Outreach</w:t>
            </w:r>
            <w:r>
              <w:rPr>
                <w:b/>
                <w:spacing w:val="-2"/>
              </w:rPr>
              <w:t xml:space="preserve"> Program</w:t>
            </w:r>
          </w:p>
        </w:tc>
      </w:tr>
      <w:tr w:rsidR="00405AA1" w14:paraId="65B3F5C1" w14:textId="77777777">
        <w:trPr>
          <w:trHeight w:val="254"/>
        </w:trPr>
        <w:tc>
          <w:tcPr>
            <w:tcW w:w="3757" w:type="dxa"/>
            <w:gridSpan w:val="2"/>
          </w:tcPr>
          <w:p w14:paraId="723E22FA" w14:textId="77777777" w:rsidR="00405AA1" w:rsidRPr="00E70208" w:rsidRDefault="00B2620E">
            <w:pPr>
              <w:pStyle w:val="TableParagraph"/>
              <w:spacing w:line="234" w:lineRule="exact"/>
              <w:rPr>
                <w:b/>
                <w:bCs/>
              </w:rPr>
            </w:pPr>
            <w:r w:rsidRPr="00E70208">
              <w:rPr>
                <w:b/>
                <w:bCs/>
              </w:rPr>
              <w:t>Implementing</w:t>
            </w:r>
            <w:r w:rsidRPr="00E70208">
              <w:rPr>
                <w:b/>
                <w:bCs/>
                <w:spacing w:val="-10"/>
              </w:rPr>
              <w:t xml:space="preserve"> </w:t>
            </w:r>
            <w:r w:rsidRPr="00E70208">
              <w:rPr>
                <w:b/>
                <w:bCs/>
              </w:rPr>
              <w:t>Country</w:t>
            </w:r>
            <w:r w:rsidRPr="00E70208">
              <w:rPr>
                <w:b/>
                <w:bCs/>
                <w:spacing w:val="-11"/>
              </w:rPr>
              <w:t xml:space="preserve"> </w:t>
            </w:r>
            <w:r w:rsidRPr="00E70208">
              <w:rPr>
                <w:b/>
                <w:bCs/>
                <w:spacing w:val="-2"/>
              </w:rPr>
              <w:t>(NPO)</w:t>
            </w:r>
          </w:p>
        </w:tc>
        <w:tc>
          <w:tcPr>
            <w:tcW w:w="5262" w:type="dxa"/>
            <w:gridSpan w:val="2"/>
          </w:tcPr>
          <w:p w14:paraId="54D0B4C6" w14:textId="1DB442D7" w:rsidR="00405AA1" w:rsidRPr="00E70208" w:rsidRDefault="00170FCD" w:rsidP="00D33791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  <w:r w:rsidRPr="00E70208">
              <w:rPr>
                <w:b/>
                <w:bCs/>
              </w:rPr>
              <w:t>Malaysia</w:t>
            </w:r>
            <w:r w:rsidRPr="00E70208">
              <w:rPr>
                <w:b/>
                <w:bCs/>
                <w:spacing w:val="-9"/>
              </w:rPr>
              <w:t xml:space="preserve"> </w:t>
            </w:r>
            <w:r w:rsidRPr="00E70208">
              <w:rPr>
                <w:b/>
                <w:bCs/>
              </w:rPr>
              <w:t>Productivity</w:t>
            </w:r>
            <w:r w:rsidRPr="00E70208">
              <w:rPr>
                <w:b/>
                <w:bCs/>
                <w:spacing w:val="-9"/>
              </w:rPr>
              <w:t xml:space="preserve"> </w:t>
            </w:r>
            <w:r w:rsidRPr="00E70208">
              <w:rPr>
                <w:b/>
                <w:bCs/>
                <w:spacing w:val="-2"/>
              </w:rPr>
              <w:t>Corporation</w:t>
            </w:r>
          </w:p>
        </w:tc>
      </w:tr>
      <w:tr w:rsidR="00405AA1" w14:paraId="42EB0692" w14:textId="77777777">
        <w:trPr>
          <w:trHeight w:val="251"/>
        </w:trPr>
        <w:tc>
          <w:tcPr>
            <w:tcW w:w="828" w:type="dxa"/>
          </w:tcPr>
          <w:p w14:paraId="43E7E78C" w14:textId="77777777" w:rsidR="00405AA1" w:rsidRDefault="00405AA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29" w:type="dxa"/>
          </w:tcPr>
          <w:p w14:paraId="32AAB80F" w14:textId="77777777" w:rsidR="00405AA1" w:rsidRDefault="00B2620E">
            <w:pPr>
              <w:pStyle w:val="TableParagraph"/>
              <w:spacing w:line="232" w:lineRule="exact"/>
              <w:ind w:left="1225" w:right="1216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5262" w:type="dxa"/>
            <w:gridSpan w:val="2"/>
          </w:tcPr>
          <w:p w14:paraId="5A63D4E4" w14:textId="77777777" w:rsidR="00405AA1" w:rsidRDefault="00B2620E">
            <w:pPr>
              <w:pStyle w:val="TableParagraph"/>
              <w:spacing w:line="232" w:lineRule="exact"/>
              <w:ind w:left="0" w:right="2257"/>
              <w:jc w:val="right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</w:tr>
      <w:tr w:rsidR="00405AA1" w14:paraId="7A63CC9E" w14:textId="77777777">
        <w:trPr>
          <w:trHeight w:val="1518"/>
        </w:trPr>
        <w:tc>
          <w:tcPr>
            <w:tcW w:w="828" w:type="dxa"/>
          </w:tcPr>
          <w:p w14:paraId="4D67DD6A" w14:textId="77777777" w:rsidR="00405AA1" w:rsidRDefault="00B2620E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2929" w:type="dxa"/>
          </w:tcPr>
          <w:p w14:paraId="24A60533" w14:textId="77777777" w:rsidR="00405AA1" w:rsidRDefault="00B2620E">
            <w:pPr>
              <w:pStyle w:val="TableParagraph"/>
            </w:pPr>
            <w:r>
              <w:rPr>
                <w:spacing w:val="-2"/>
              </w:rPr>
              <w:t>Activities</w:t>
            </w:r>
          </w:p>
        </w:tc>
        <w:tc>
          <w:tcPr>
            <w:tcW w:w="5262" w:type="dxa"/>
            <w:gridSpan w:val="2"/>
          </w:tcPr>
          <w:p w14:paraId="0467B1AE" w14:textId="6FDE30C7" w:rsidR="005D236E" w:rsidRPr="00DA50E0" w:rsidRDefault="005D236E" w:rsidP="005D236E">
            <w:pPr>
              <w:pStyle w:val="Default"/>
              <w:rPr>
                <w:sz w:val="22"/>
                <w:szCs w:val="22"/>
              </w:rPr>
            </w:pPr>
            <w:r w:rsidRPr="00DA50E0">
              <w:rPr>
                <w:sz w:val="22"/>
                <w:szCs w:val="22"/>
              </w:rPr>
              <w:t xml:space="preserve">Phase </w:t>
            </w:r>
            <w:r w:rsidR="00E165D5">
              <w:rPr>
                <w:sz w:val="22"/>
                <w:szCs w:val="22"/>
              </w:rPr>
              <w:t>2</w:t>
            </w:r>
            <w:r w:rsidRPr="00DA50E0">
              <w:rPr>
                <w:sz w:val="22"/>
                <w:szCs w:val="22"/>
              </w:rPr>
              <w:t xml:space="preserve">: </w:t>
            </w:r>
            <w:r w:rsidR="00E165D5" w:rsidRPr="00E165D5">
              <w:rPr>
                <w:sz w:val="22"/>
                <w:szCs w:val="22"/>
              </w:rPr>
              <w:t xml:space="preserve">1 </w:t>
            </w:r>
            <w:r w:rsidR="00E165D5">
              <w:rPr>
                <w:sz w:val="22"/>
                <w:szCs w:val="22"/>
              </w:rPr>
              <w:t>April</w:t>
            </w:r>
            <w:r w:rsidR="00E165D5" w:rsidRPr="00E165D5">
              <w:rPr>
                <w:sz w:val="22"/>
                <w:szCs w:val="22"/>
              </w:rPr>
              <w:t xml:space="preserve"> to 1 November </w:t>
            </w:r>
            <w:r w:rsidRPr="00DA50E0">
              <w:rPr>
                <w:sz w:val="22"/>
                <w:szCs w:val="22"/>
              </w:rPr>
              <w:t xml:space="preserve">2023: Innovations for Higher Productivity </w:t>
            </w:r>
          </w:p>
          <w:p w14:paraId="4097F7AA" w14:textId="41EC4811" w:rsidR="00971D4B" w:rsidRDefault="005D236E" w:rsidP="00E2264E">
            <w:pPr>
              <w:pStyle w:val="TableParagraph"/>
              <w:numPr>
                <w:ilvl w:val="0"/>
                <w:numId w:val="6"/>
              </w:numPr>
              <w:tabs>
                <w:tab w:val="left" w:pos="681"/>
              </w:tabs>
            </w:pPr>
            <w:r w:rsidRPr="00DA50E0">
              <w:t>Promotional</w:t>
            </w:r>
            <w:r w:rsidRPr="00DA50E0">
              <w:rPr>
                <w:spacing w:val="-12"/>
              </w:rPr>
              <w:t xml:space="preserve"> </w:t>
            </w:r>
            <w:r w:rsidR="00E2264E">
              <w:rPr>
                <w:spacing w:val="-2"/>
              </w:rPr>
              <w:t>Productivity</w:t>
            </w:r>
            <w:r w:rsidRPr="00DA50E0">
              <w:rPr>
                <w:spacing w:val="-2"/>
              </w:rPr>
              <w:t xml:space="preserve"> Content</w:t>
            </w:r>
            <w:r w:rsidR="00E2264E">
              <w:rPr>
                <w:spacing w:val="-2"/>
              </w:rPr>
              <w:t xml:space="preserve"> Development</w:t>
            </w:r>
          </w:p>
          <w:p w14:paraId="12344C81" w14:textId="40970B15" w:rsidR="0062332B" w:rsidRPr="00DA50E0" w:rsidRDefault="0062332B" w:rsidP="00E2264E">
            <w:pPr>
              <w:pStyle w:val="TableParagraph"/>
              <w:numPr>
                <w:ilvl w:val="0"/>
                <w:numId w:val="6"/>
              </w:numPr>
              <w:tabs>
                <w:tab w:val="left" w:pos="681"/>
              </w:tabs>
              <w:ind w:right="94"/>
            </w:pPr>
            <w:r w:rsidRPr="00DA50E0">
              <w:t>Engag</w:t>
            </w:r>
            <w:r>
              <w:t xml:space="preserve">e media experts to </w:t>
            </w:r>
            <w:r w:rsidRPr="00DA50E0">
              <w:t>enhance</w:t>
            </w:r>
            <w:r w:rsidR="00D33791">
              <w:rPr>
                <w:spacing w:val="40"/>
              </w:rPr>
              <w:t xml:space="preserve"> </w:t>
            </w:r>
            <w:r w:rsidRPr="00DA50E0">
              <w:t xml:space="preserve">and manage marketing efforts </w:t>
            </w:r>
            <w:r w:rsidR="003F5F07">
              <w:t>for wider</w:t>
            </w:r>
            <w:r w:rsidRPr="00DA50E0">
              <w:t xml:space="preserve"> outreach</w:t>
            </w:r>
            <w:r w:rsidR="003F5F07">
              <w:t>.</w:t>
            </w:r>
          </w:p>
          <w:p w14:paraId="4F5B3DEF" w14:textId="1D8FA78D" w:rsidR="00336A10" w:rsidRPr="0062332B" w:rsidRDefault="00336A10" w:rsidP="003F5F07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405AA1" w14:paraId="012E6DCE" w14:textId="77777777" w:rsidTr="00761A06">
        <w:trPr>
          <w:trHeight w:val="1145"/>
        </w:trPr>
        <w:tc>
          <w:tcPr>
            <w:tcW w:w="828" w:type="dxa"/>
          </w:tcPr>
          <w:p w14:paraId="61ADBE96" w14:textId="77777777" w:rsidR="00405AA1" w:rsidRDefault="00B2620E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2929" w:type="dxa"/>
          </w:tcPr>
          <w:p w14:paraId="61755DA0" w14:textId="77777777" w:rsidR="00405AA1" w:rsidRDefault="00B2620E">
            <w:pPr>
              <w:pStyle w:val="TableParagraph"/>
            </w:pPr>
            <w:r>
              <w:t>Description</w:t>
            </w:r>
            <w:r>
              <w:rPr>
                <w:spacing w:val="-7"/>
              </w:rPr>
              <w:t xml:space="preserve"> </w:t>
            </w:r>
            <w:r>
              <w:t>(by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Activity)</w:t>
            </w:r>
          </w:p>
        </w:tc>
        <w:tc>
          <w:tcPr>
            <w:tcW w:w="5262" w:type="dxa"/>
            <w:gridSpan w:val="2"/>
          </w:tcPr>
          <w:p w14:paraId="6E95BADC" w14:textId="28ED0B8A" w:rsidR="00405AA1" w:rsidRDefault="00B2620E">
            <w:pPr>
              <w:pStyle w:val="TableParagraph"/>
              <w:ind w:right="97"/>
              <w:jc w:val="both"/>
            </w:pPr>
            <w:r>
              <w:t xml:space="preserve">To create </w:t>
            </w:r>
            <w:r w:rsidR="00761A06">
              <w:t>productivity digital contents in enhancing</w:t>
            </w:r>
            <w:r>
              <w:t xml:space="preserve"> marketing</w:t>
            </w:r>
            <w:r>
              <w:rPr>
                <w:spacing w:val="-16"/>
              </w:rPr>
              <w:t xml:space="preserve"> </w:t>
            </w:r>
            <w:r>
              <w:t>efforts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NPOs</w:t>
            </w:r>
            <w:r>
              <w:rPr>
                <w:spacing w:val="-15"/>
              </w:rPr>
              <w:t xml:space="preserve"> </w:t>
            </w:r>
            <w:r>
              <w:t>productivity</w:t>
            </w:r>
            <w:r>
              <w:rPr>
                <w:spacing w:val="-15"/>
              </w:rPr>
              <w:t xml:space="preserve"> </w:t>
            </w:r>
            <w:r>
              <w:t xml:space="preserve">promotion </w:t>
            </w:r>
            <w:r>
              <w:rPr>
                <w:spacing w:val="-2"/>
              </w:rPr>
              <w:t>campaigns</w:t>
            </w:r>
            <w:r w:rsidR="00761A06">
              <w:rPr>
                <w:spacing w:val="-2"/>
              </w:rPr>
              <w:t xml:space="preserve"> aligning to national and APO Vision outreach programs.</w:t>
            </w:r>
          </w:p>
        </w:tc>
      </w:tr>
      <w:tr w:rsidR="00405AA1" w14:paraId="0DD3A52E" w14:textId="77777777">
        <w:trPr>
          <w:trHeight w:val="6576"/>
        </w:trPr>
        <w:tc>
          <w:tcPr>
            <w:tcW w:w="828" w:type="dxa"/>
          </w:tcPr>
          <w:p w14:paraId="6D373041" w14:textId="77777777" w:rsidR="00405AA1" w:rsidRDefault="00B2620E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2929" w:type="dxa"/>
          </w:tcPr>
          <w:p w14:paraId="54878F43" w14:textId="77777777" w:rsidR="00405AA1" w:rsidRDefault="00B2620E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Objective(s)</w:t>
            </w:r>
          </w:p>
          <w:p w14:paraId="7AC64252" w14:textId="77777777" w:rsidR="00170FCD" w:rsidRDefault="00170FCD">
            <w:pPr>
              <w:pStyle w:val="TableParagraph"/>
              <w:rPr>
                <w:spacing w:val="-2"/>
              </w:rPr>
            </w:pPr>
          </w:p>
          <w:p w14:paraId="79432532" w14:textId="263B197B" w:rsidR="00170FCD" w:rsidRDefault="00170FCD" w:rsidP="00170FCD">
            <w:pPr>
              <w:pStyle w:val="TableParagraph"/>
            </w:pPr>
          </w:p>
        </w:tc>
        <w:tc>
          <w:tcPr>
            <w:tcW w:w="5262" w:type="dxa"/>
            <w:gridSpan w:val="2"/>
          </w:tcPr>
          <w:p w14:paraId="5C9CCD92" w14:textId="6D179160" w:rsidR="00761A06" w:rsidRPr="003A0749" w:rsidRDefault="00761A06" w:rsidP="00761A0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A0749">
              <w:rPr>
                <w:b/>
                <w:bCs/>
                <w:sz w:val="22"/>
                <w:szCs w:val="22"/>
              </w:rPr>
              <w:t xml:space="preserve">Phase </w:t>
            </w:r>
            <w:r w:rsidR="00E165D5">
              <w:rPr>
                <w:b/>
                <w:bCs/>
                <w:sz w:val="22"/>
                <w:szCs w:val="22"/>
              </w:rPr>
              <w:t>2</w:t>
            </w:r>
            <w:r w:rsidRPr="003A0749">
              <w:rPr>
                <w:b/>
                <w:bCs/>
                <w:sz w:val="22"/>
                <w:szCs w:val="22"/>
              </w:rPr>
              <w:t xml:space="preserve">: </w:t>
            </w:r>
            <w:r w:rsidR="00E165D5">
              <w:rPr>
                <w:b/>
                <w:bCs/>
                <w:sz w:val="22"/>
                <w:szCs w:val="22"/>
              </w:rPr>
              <w:t xml:space="preserve">1 April to 1 November </w:t>
            </w:r>
            <w:r w:rsidRPr="003A0749">
              <w:rPr>
                <w:b/>
                <w:bCs/>
                <w:sz w:val="22"/>
                <w:szCs w:val="22"/>
              </w:rPr>
              <w:t xml:space="preserve">2023: Innovations for Higher Productivity </w:t>
            </w:r>
          </w:p>
          <w:p w14:paraId="404690C2" w14:textId="77777777" w:rsidR="00761A06" w:rsidRDefault="00761A06" w:rsidP="00761A06">
            <w:pPr>
              <w:pStyle w:val="TableParagraph"/>
              <w:tabs>
                <w:tab w:val="left" w:pos="468"/>
              </w:tabs>
              <w:spacing w:line="252" w:lineRule="exact"/>
              <w:ind w:left="467"/>
              <w:jc w:val="both"/>
            </w:pPr>
          </w:p>
          <w:p w14:paraId="1FF6F703" w14:textId="0CBA6B81" w:rsidR="00405AA1" w:rsidRDefault="00B2620E" w:rsidP="009C535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52" w:lineRule="exact"/>
              <w:jc w:val="both"/>
            </w:pPr>
            <w:r>
              <w:t>Promotional</w:t>
            </w:r>
            <w:r>
              <w:rPr>
                <w:spacing w:val="-12"/>
              </w:rPr>
              <w:t xml:space="preserve"> </w:t>
            </w:r>
            <w:r w:rsidR="003F5F07">
              <w:rPr>
                <w:spacing w:val="-2"/>
              </w:rPr>
              <w:t xml:space="preserve">Productivity </w:t>
            </w:r>
            <w:r w:rsidR="00761A06">
              <w:rPr>
                <w:spacing w:val="-2"/>
              </w:rPr>
              <w:t>Content</w:t>
            </w:r>
            <w:r w:rsidR="003F5F07">
              <w:rPr>
                <w:spacing w:val="-2"/>
              </w:rPr>
              <w:t xml:space="preserve"> Development</w:t>
            </w:r>
          </w:p>
          <w:p w14:paraId="606EEDB4" w14:textId="3D02661D" w:rsidR="00405AA1" w:rsidRDefault="00A10526" w:rsidP="009C5353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ind w:right="94"/>
              <w:jc w:val="both"/>
            </w:pPr>
            <w:r>
              <w:t>Productivity related contents using digital media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promote</w:t>
            </w:r>
            <w:r>
              <w:rPr>
                <w:spacing w:val="-16"/>
              </w:rPr>
              <w:t xml:space="preserve"> </w:t>
            </w:r>
            <w:r>
              <w:t xml:space="preserve">productivity movement in </w:t>
            </w:r>
            <w:r w:rsidR="00170FCD">
              <w:t>Malaysia</w:t>
            </w:r>
            <w:r>
              <w:t xml:space="preserve"> aligning to 12</w:t>
            </w:r>
            <w:r w:rsidRPr="00A10526">
              <w:rPr>
                <w:vertAlign w:val="superscript"/>
              </w:rPr>
              <w:t>th</w:t>
            </w:r>
            <w:r>
              <w:t xml:space="preserve"> Malaysia Plan, Malaysia Productivity Blueprint, and APO Vision 2025. Theme: Innovations for Higher Productivity</w:t>
            </w:r>
          </w:p>
          <w:p w14:paraId="1AA1F466" w14:textId="08967136" w:rsidR="00405AA1" w:rsidRDefault="00405AA1">
            <w:pPr>
              <w:pStyle w:val="TableParagraph"/>
              <w:ind w:left="0"/>
              <w:rPr>
                <w:rFonts w:ascii="Times New Roman"/>
              </w:rPr>
            </w:pPr>
          </w:p>
          <w:p w14:paraId="76149644" w14:textId="77777777" w:rsidR="003A1AE9" w:rsidRDefault="00A67D0C" w:rsidP="009C5353">
            <w:pPr>
              <w:pStyle w:val="TableParagraph"/>
              <w:numPr>
                <w:ilvl w:val="0"/>
                <w:numId w:val="8"/>
              </w:numPr>
              <w:tabs>
                <w:tab w:val="left" w:pos="681"/>
              </w:tabs>
              <w:ind w:right="94"/>
            </w:pPr>
            <w:r>
              <w:t>M</w:t>
            </w:r>
            <w:r w:rsidR="00971D4B">
              <w:t>edia engagement and promotions for wider</w:t>
            </w:r>
          </w:p>
          <w:p w14:paraId="259F6A27" w14:textId="19FC1093" w:rsidR="00B65AFE" w:rsidRDefault="00971D4B" w:rsidP="003A1AE9">
            <w:pPr>
              <w:pStyle w:val="TableParagraph"/>
              <w:tabs>
                <w:tab w:val="left" w:pos="681"/>
              </w:tabs>
              <w:ind w:left="827" w:right="94"/>
            </w:pPr>
            <w:r>
              <w:t xml:space="preserve">outreach. </w:t>
            </w:r>
          </w:p>
          <w:p w14:paraId="41CD120B" w14:textId="13B42B83" w:rsidR="00971D4B" w:rsidRDefault="00A10526" w:rsidP="009C5353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</w:tabs>
              <w:ind w:right="94"/>
            </w:pPr>
            <w:r>
              <w:t>Engage media experts from various industries</w:t>
            </w:r>
            <w:r w:rsidR="00971D4B">
              <w:t>, SMEs, content creators, productivity specialists, etc.</w:t>
            </w:r>
          </w:p>
          <w:p w14:paraId="056E67E8" w14:textId="50B88014" w:rsidR="00B65AFE" w:rsidRDefault="00971D4B" w:rsidP="009C5353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</w:tabs>
              <w:ind w:right="94"/>
            </w:pPr>
            <w:r>
              <w:t xml:space="preserve">Enabling </w:t>
            </w:r>
            <w:r w:rsidR="00AF1244">
              <w:t>Malaysia’s stakeholders to enhance their competencies by gaining new knowledge, insights, and ideas.</w:t>
            </w:r>
          </w:p>
          <w:p w14:paraId="51166AC9" w14:textId="61837EE5" w:rsidR="00A67D0C" w:rsidRDefault="00A67D0C" w:rsidP="009C5353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</w:tabs>
              <w:ind w:right="94"/>
            </w:pPr>
            <w:r>
              <w:t xml:space="preserve">Educating target </w:t>
            </w:r>
            <w:r w:rsidR="00B51D14">
              <w:t>audience (SMEs, industries, young talents)</w:t>
            </w:r>
            <w:r>
              <w:t xml:space="preserve"> on the importance of productivity concept</w:t>
            </w:r>
            <w:r w:rsidR="009C5353">
              <w:t>, in realizing inclusive, innovation-led productivity growth in the country and across Asia.</w:t>
            </w:r>
          </w:p>
          <w:p w14:paraId="7242F591" w14:textId="1F5619A7" w:rsidR="00A67D0C" w:rsidRDefault="00A67D0C" w:rsidP="003F5F07">
            <w:pPr>
              <w:pStyle w:val="TableParagraph"/>
              <w:tabs>
                <w:tab w:val="left" w:pos="823"/>
              </w:tabs>
              <w:ind w:left="0" w:right="94"/>
            </w:pPr>
          </w:p>
        </w:tc>
      </w:tr>
      <w:tr w:rsidR="00405AA1" w14:paraId="753B5A29" w14:textId="77777777" w:rsidTr="00436597">
        <w:trPr>
          <w:trHeight w:val="2115"/>
        </w:trPr>
        <w:tc>
          <w:tcPr>
            <w:tcW w:w="828" w:type="dxa"/>
          </w:tcPr>
          <w:p w14:paraId="0B747F99" w14:textId="77777777" w:rsidR="00405AA1" w:rsidRDefault="00B2620E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2929" w:type="dxa"/>
          </w:tcPr>
          <w:p w14:paraId="0F4FD8AB" w14:textId="77777777" w:rsidR="00405AA1" w:rsidRDefault="00B2620E">
            <w:pPr>
              <w:pStyle w:val="TableParagraph"/>
            </w:pPr>
            <w:r>
              <w:rPr>
                <w:spacing w:val="-2"/>
              </w:rPr>
              <w:t>Background</w:t>
            </w:r>
          </w:p>
        </w:tc>
        <w:tc>
          <w:tcPr>
            <w:tcW w:w="5262" w:type="dxa"/>
            <w:gridSpan w:val="2"/>
          </w:tcPr>
          <w:p w14:paraId="1725EECC" w14:textId="74EFDC4E" w:rsidR="00084692" w:rsidRDefault="00170FCD" w:rsidP="00084692">
            <w:pPr>
              <w:pStyle w:val="TableParagraph"/>
              <w:ind w:right="95"/>
              <w:jc w:val="both"/>
            </w:pPr>
            <w:r>
              <w:t xml:space="preserve">Malaysia’s </w:t>
            </w:r>
            <w:r w:rsidR="00AF1DAA">
              <w:t>productivity</w:t>
            </w:r>
            <w:r w:rsidR="00084692">
              <w:t xml:space="preserve"> growth for 2021 has rebound to 1.8% from -5.5% in 2020.  </w:t>
            </w:r>
            <w:r w:rsidR="008C0E3E">
              <w:t>It</w:t>
            </w:r>
            <w:r w:rsidR="00084692">
              <w:t xml:space="preserve"> </w:t>
            </w:r>
            <w:r w:rsidR="003A1AE9">
              <w:t>indicate</w:t>
            </w:r>
            <w:r w:rsidR="00423AB7">
              <w:t>s</w:t>
            </w:r>
            <w:r w:rsidR="00084692">
              <w:t xml:space="preserve"> a tremendous awakening from the slow economic bumps due to the impact of the pandemic</w:t>
            </w:r>
            <w:r w:rsidR="00720356">
              <w:t xml:space="preserve">. </w:t>
            </w:r>
            <w:r w:rsidR="00D503EC">
              <w:t>This</w:t>
            </w:r>
            <w:r w:rsidR="00423AB7">
              <w:t xml:space="preserve"> </w:t>
            </w:r>
            <w:r w:rsidR="00084692">
              <w:t>is a driving factor for Malaysia to boost productivity of the nation at 3.6% by 2025</w:t>
            </w:r>
            <w:r w:rsidR="00AF5AC6">
              <w:t>.</w:t>
            </w:r>
          </w:p>
          <w:p w14:paraId="2E00448D" w14:textId="11AB2487" w:rsidR="00084692" w:rsidRDefault="00084692" w:rsidP="00084692">
            <w:pPr>
              <w:pStyle w:val="TableParagraph"/>
              <w:ind w:right="95"/>
              <w:jc w:val="both"/>
            </w:pPr>
          </w:p>
          <w:p w14:paraId="05B8FB64" w14:textId="44B59DAE" w:rsidR="00714634" w:rsidRDefault="00423AB7" w:rsidP="00714634">
            <w:pPr>
              <w:pStyle w:val="TableParagraph"/>
              <w:ind w:right="95"/>
              <w:jc w:val="both"/>
            </w:pPr>
            <w:r>
              <w:t>In line with the Malaysia Plan 2021-2025</w:t>
            </w:r>
            <w:r w:rsidR="00056D5B">
              <w:t xml:space="preserve"> the</w:t>
            </w:r>
            <w:r>
              <w:t>re is an</w:t>
            </w:r>
            <w:r w:rsidR="00056D5B">
              <w:t xml:space="preserve"> urgency for </w:t>
            </w:r>
            <w:r w:rsidR="00651216">
              <w:t>MPC</w:t>
            </w:r>
            <w:r w:rsidR="00056D5B">
              <w:t xml:space="preserve"> to continue the productivity campaign movements which has been executed since 1980s in improving the economic development of the country. </w:t>
            </w:r>
          </w:p>
          <w:p w14:paraId="64337CD8" w14:textId="77777777" w:rsidR="00714634" w:rsidRDefault="00714634" w:rsidP="00714634">
            <w:pPr>
              <w:pStyle w:val="TableParagraph"/>
              <w:ind w:right="95"/>
              <w:jc w:val="both"/>
            </w:pPr>
          </w:p>
          <w:p w14:paraId="18BFBA92" w14:textId="6E96288A" w:rsidR="00714634" w:rsidRDefault="00714634" w:rsidP="00714634">
            <w:pPr>
              <w:pStyle w:val="TableParagraph"/>
              <w:ind w:right="95"/>
              <w:jc w:val="both"/>
            </w:pPr>
            <w:r>
              <w:t>Th</w:t>
            </w:r>
            <w:r w:rsidR="00466886">
              <w:t>e</w:t>
            </w:r>
            <w:r>
              <w:t xml:space="preserve"> </w:t>
            </w:r>
            <w:r w:rsidR="00466886">
              <w:t xml:space="preserve">productivity </w:t>
            </w:r>
            <w:r>
              <w:t xml:space="preserve">campaign aims to </w:t>
            </w:r>
            <w:r w:rsidR="00466886">
              <w:t xml:space="preserve">educate </w:t>
            </w:r>
            <w:r w:rsidR="00651216">
              <w:t xml:space="preserve">the Malaysian Citizen </w:t>
            </w:r>
            <w:r w:rsidR="00466886">
              <w:t>on</w:t>
            </w:r>
            <w:r>
              <w:t xml:space="preserve"> the importance of productivity </w:t>
            </w:r>
            <w:r>
              <w:lastRenderedPageBreak/>
              <w:t xml:space="preserve">for national development, organizational excellence, enterprise competitiveness aligning to </w:t>
            </w:r>
            <w:r w:rsidR="00F27B3F">
              <w:t xml:space="preserve">the </w:t>
            </w:r>
            <w:r>
              <w:t>national aspiration in boosting productivity as stipulated in the 12</w:t>
            </w:r>
            <w:r w:rsidRPr="00714634">
              <w:rPr>
                <w:vertAlign w:val="superscript"/>
              </w:rPr>
              <w:t>th</w:t>
            </w:r>
            <w:r>
              <w:t xml:space="preserve"> Malaysia plan and Malaysia Productivity Blueprint.</w:t>
            </w:r>
          </w:p>
          <w:p w14:paraId="5B9CEF71" w14:textId="77777777" w:rsidR="00714634" w:rsidRDefault="00714634" w:rsidP="00714634">
            <w:pPr>
              <w:pStyle w:val="TableParagraph"/>
              <w:ind w:right="95"/>
              <w:jc w:val="both"/>
            </w:pPr>
          </w:p>
          <w:p w14:paraId="6DA4FCF9" w14:textId="72C95048" w:rsidR="00084692" w:rsidRDefault="00714634" w:rsidP="00714634">
            <w:pPr>
              <w:pStyle w:val="TableParagraph"/>
              <w:ind w:right="95"/>
              <w:jc w:val="both"/>
            </w:pPr>
            <w:r>
              <w:t xml:space="preserve">Hence, MPC shall </w:t>
            </w:r>
            <w:r w:rsidR="00D503EC">
              <w:t>take the</w:t>
            </w:r>
            <w:r w:rsidR="00436597">
              <w:t xml:space="preserve"> opportunity to intensify the initiatives </w:t>
            </w:r>
            <w:r>
              <w:t>across the Asia-Pacific region</w:t>
            </w:r>
            <w:r w:rsidR="00651216">
              <w:t xml:space="preserve"> and</w:t>
            </w:r>
            <w:r>
              <w:t xml:space="preserve"> support </w:t>
            </w:r>
            <w:r w:rsidR="00651216">
              <w:t xml:space="preserve">the </w:t>
            </w:r>
            <w:r>
              <w:t>APO</w:t>
            </w:r>
            <w:r w:rsidR="00651216">
              <w:t xml:space="preserve"> initiatives</w:t>
            </w:r>
            <w:r w:rsidR="00720356">
              <w:t xml:space="preserve"> to address and mitigate the global challenges, align with APO </w:t>
            </w:r>
            <w:r>
              <w:t>Vision 2025.</w:t>
            </w:r>
          </w:p>
          <w:p w14:paraId="460C5E60" w14:textId="1C4F8360" w:rsidR="00056D5B" w:rsidRDefault="00056D5B" w:rsidP="00436597">
            <w:pPr>
              <w:pStyle w:val="TableParagraph"/>
              <w:ind w:left="0" w:right="95"/>
              <w:jc w:val="both"/>
            </w:pPr>
          </w:p>
          <w:p w14:paraId="487CC26B" w14:textId="7A10A2E1" w:rsidR="00084692" w:rsidRDefault="00436597" w:rsidP="00436597">
            <w:pPr>
              <w:pStyle w:val="TableParagraph"/>
              <w:ind w:left="104" w:right="95"/>
              <w:jc w:val="both"/>
            </w:pPr>
            <w:r>
              <w:t>The method</w:t>
            </w:r>
            <w:r w:rsidR="00720356">
              <w:t>ology used for this</w:t>
            </w:r>
            <w:r>
              <w:t xml:space="preserve"> productivity campaign encompassing smart partnerships and collaborative </w:t>
            </w:r>
            <w:r w:rsidR="00084692">
              <w:t xml:space="preserve">efforts </w:t>
            </w:r>
            <w:r>
              <w:t>among</w:t>
            </w:r>
            <w:r w:rsidR="00084692">
              <w:t xml:space="preserve"> public and private sectors</w:t>
            </w:r>
            <w:r w:rsidR="00720356">
              <w:t>.</w:t>
            </w:r>
            <w:r w:rsidR="00084692">
              <w:t xml:space="preserve"> </w:t>
            </w:r>
          </w:p>
        </w:tc>
      </w:tr>
      <w:tr w:rsidR="00405AA1" w14:paraId="34CFB371" w14:textId="77777777" w:rsidTr="004E521E">
        <w:trPr>
          <w:trHeight w:val="543"/>
        </w:trPr>
        <w:tc>
          <w:tcPr>
            <w:tcW w:w="828" w:type="dxa"/>
          </w:tcPr>
          <w:p w14:paraId="3E845F31" w14:textId="77777777" w:rsidR="00405AA1" w:rsidRDefault="00B2620E">
            <w:pPr>
              <w:pStyle w:val="TableParagraph"/>
              <w:ind w:left="9"/>
              <w:jc w:val="center"/>
            </w:pPr>
            <w:r>
              <w:lastRenderedPageBreak/>
              <w:t>5</w:t>
            </w:r>
          </w:p>
        </w:tc>
        <w:tc>
          <w:tcPr>
            <w:tcW w:w="2929" w:type="dxa"/>
          </w:tcPr>
          <w:p w14:paraId="7744A461" w14:textId="77777777" w:rsidR="00405AA1" w:rsidRDefault="00B2620E">
            <w:pPr>
              <w:pStyle w:val="TableParagraph"/>
            </w:pPr>
            <w:r>
              <w:t>Target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Audience</w:t>
            </w:r>
          </w:p>
        </w:tc>
        <w:tc>
          <w:tcPr>
            <w:tcW w:w="5262" w:type="dxa"/>
            <w:gridSpan w:val="2"/>
          </w:tcPr>
          <w:p w14:paraId="1F630551" w14:textId="228D940B" w:rsidR="00405AA1" w:rsidRDefault="00436597">
            <w:pPr>
              <w:pStyle w:val="TableParagraph"/>
              <w:ind w:right="95"/>
              <w:jc w:val="both"/>
            </w:pPr>
            <w:r>
              <w:t xml:space="preserve">SMEs, </w:t>
            </w:r>
            <w:r w:rsidR="00CB7E93">
              <w:t>Industries, Young Talents</w:t>
            </w:r>
          </w:p>
        </w:tc>
      </w:tr>
      <w:tr w:rsidR="00405AA1" w14:paraId="6604B597" w14:textId="77777777">
        <w:trPr>
          <w:trHeight w:val="2023"/>
        </w:trPr>
        <w:tc>
          <w:tcPr>
            <w:tcW w:w="828" w:type="dxa"/>
          </w:tcPr>
          <w:p w14:paraId="1F23C6AD" w14:textId="77777777" w:rsidR="00405AA1" w:rsidRDefault="00B2620E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2929" w:type="dxa"/>
          </w:tcPr>
          <w:p w14:paraId="3A899F68" w14:textId="77777777" w:rsidR="00405AA1" w:rsidRDefault="00B2620E">
            <w:pPr>
              <w:pStyle w:val="TableParagraph"/>
            </w:pPr>
            <w:r>
              <w:t>Expected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Outcome(s)</w:t>
            </w:r>
          </w:p>
        </w:tc>
        <w:tc>
          <w:tcPr>
            <w:tcW w:w="5262" w:type="dxa"/>
            <w:gridSpan w:val="2"/>
          </w:tcPr>
          <w:p w14:paraId="4CB53A56" w14:textId="6A9D4920" w:rsidR="00405AA1" w:rsidRDefault="00B2620E" w:rsidP="00CB7E93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ind w:right="94"/>
              <w:jc w:val="both"/>
            </w:pPr>
            <w:r>
              <w:t xml:space="preserve">To expand productivity movement outreach </w:t>
            </w:r>
            <w:r w:rsidR="00CB7E93">
              <w:t>across national and APO member countries.</w:t>
            </w:r>
          </w:p>
          <w:p w14:paraId="6979E07F" w14:textId="7BACEA79" w:rsidR="00D9285F" w:rsidRDefault="00CB7E93" w:rsidP="00D9285F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ind w:right="94"/>
              <w:jc w:val="both"/>
            </w:pPr>
            <w:r>
              <w:t>To increase the awareness on the importance of productivity concept, in realizing inclusive, innovation-led productivity growth in the country and across Asia.</w:t>
            </w:r>
            <w:r w:rsidR="00D9285F">
              <w:t xml:space="preserve"> </w:t>
            </w:r>
          </w:p>
          <w:p w14:paraId="33AC1EB1" w14:textId="07177538" w:rsidR="00D9285F" w:rsidRDefault="00D9285F" w:rsidP="00D9285F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ind w:right="94"/>
              <w:jc w:val="both"/>
            </w:pPr>
            <w:r>
              <w:t xml:space="preserve">To expand the knowledge and enhance the competencies of stakeholders, </w:t>
            </w:r>
            <w:r w:rsidR="00C45DCF">
              <w:t xml:space="preserve">media experts, </w:t>
            </w:r>
            <w:r>
              <w:t>productivity specialist</w:t>
            </w:r>
            <w:r w:rsidR="00C45DCF">
              <w:t>s</w:t>
            </w:r>
            <w:r>
              <w:t xml:space="preserve">, and NPOs through </w:t>
            </w:r>
            <w:r w:rsidR="00C45DCF">
              <w:t>innovation and new ideas.</w:t>
            </w:r>
          </w:p>
          <w:p w14:paraId="146E4974" w14:textId="64F37974" w:rsidR="00405AA1" w:rsidRDefault="00405AA1" w:rsidP="00C45DCF">
            <w:pPr>
              <w:pStyle w:val="TableParagraph"/>
              <w:tabs>
                <w:tab w:val="left" w:pos="497"/>
              </w:tabs>
              <w:ind w:left="496" w:right="94"/>
              <w:jc w:val="both"/>
            </w:pPr>
          </w:p>
        </w:tc>
      </w:tr>
      <w:tr w:rsidR="00405AA1" w14:paraId="093AF888" w14:textId="77777777">
        <w:trPr>
          <w:trHeight w:val="506"/>
        </w:trPr>
        <w:tc>
          <w:tcPr>
            <w:tcW w:w="828" w:type="dxa"/>
          </w:tcPr>
          <w:p w14:paraId="5DB74283" w14:textId="77777777" w:rsidR="00405AA1" w:rsidRDefault="00B2620E">
            <w:pPr>
              <w:pStyle w:val="TableParagraph"/>
              <w:spacing w:before="2"/>
              <w:ind w:left="9"/>
              <w:jc w:val="center"/>
            </w:pPr>
            <w:r>
              <w:t>7</w:t>
            </w:r>
          </w:p>
        </w:tc>
        <w:tc>
          <w:tcPr>
            <w:tcW w:w="2929" w:type="dxa"/>
          </w:tcPr>
          <w:p w14:paraId="5A7F8191" w14:textId="77777777" w:rsidR="00405AA1" w:rsidRDefault="00B2620E">
            <w:pPr>
              <w:pStyle w:val="TableParagraph"/>
              <w:spacing w:line="252" w:lineRule="exact"/>
              <w:ind w:right="193"/>
            </w:pPr>
            <w:r>
              <w:t xml:space="preserve">Schedule of </w:t>
            </w:r>
            <w:r>
              <w:rPr>
                <w:spacing w:val="-2"/>
              </w:rPr>
              <w:t>Implementation</w:t>
            </w:r>
          </w:p>
        </w:tc>
        <w:tc>
          <w:tcPr>
            <w:tcW w:w="5262" w:type="dxa"/>
            <w:gridSpan w:val="2"/>
          </w:tcPr>
          <w:p w14:paraId="689A79AE" w14:textId="221D3C92" w:rsidR="00405AA1" w:rsidRPr="003F5F07" w:rsidRDefault="00C45DCF" w:rsidP="00C45DC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A0749">
              <w:rPr>
                <w:b/>
                <w:bCs/>
                <w:sz w:val="22"/>
                <w:szCs w:val="22"/>
              </w:rPr>
              <w:t xml:space="preserve">Phase </w:t>
            </w:r>
            <w:r w:rsidR="00E165D5">
              <w:rPr>
                <w:b/>
                <w:bCs/>
                <w:sz w:val="22"/>
                <w:szCs w:val="22"/>
              </w:rPr>
              <w:t>2</w:t>
            </w:r>
            <w:r w:rsidRPr="003A0749">
              <w:rPr>
                <w:b/>
                <w:bCs/>
                <w:sz w:val="22"/>
                <w:szCs w:val="22"/>
              </w:rPr>
              <w:t xml:space="preserve">: </w:t>
            </w:r>
            <w:r w:rsidR="00E165D5">
              <w:rPr>
                <w:b/>
                <w:bCs/>
                <w:sz w:val="22"/>
                <w:szCs w:val="22"/>
              </w:rPr>
              <w:t xml:space="preserve">1 April to 1 November </w:t>
            </w:r>
            <w:r w:rsidRPr="003A0749">
              <w:rPr>
                <w:b/>
                <w:bCs/>
                <w:sz w:val="22"/>
                <w:szCs w:val="22"/>
              </w:rPr>
              <w:t xml:space="preserve">2023: Innovations for Higher Productivity </w:t>
            </w:r>
          </w:p>
        </w:tc>
      </w:tr>
      <w:tr w:rsidR="00405AA1" w14:paraId="708D2EF8" w14:textId="77777777">
        <w:trPr>
          <w:trHeight w:val="505"/>
        </w:trPr>
        <w:tc>
          <w:tcPr>
            <w:tcW w:w="828" w:type="dxa"/>
            <w:vMerge w:val="restart"/>
          </w:tcPr>
          <w:p w14:paraId="365D3799" w14:textId="77777777" w:rsidR="00405AA1" w:rsidRDefault="00B2620E">
            <w:pPr>
              <w:pStyle w:val="TableParagraph"/>
              <w:spacing w:before="2"/>
              <w:ind w:left="9"/>
              <w:jc w:val="center"/>
            </w:pPr>
            <w:r>
              <w:t>8</w:t>
            </w:r>
          </w:p>
        </w:tc>
        <w:tc>
          <w:tcPr>
            <w:tcW w:w="2929" w:type="dxa"/>
            <w:vMerge w:val="restart"/>
          </w:tcPr>
          <w:p w14:paraId="312AB948" w14:textId="77777777" w:rsidR="00405AA1" w:rsidRDefault="00B2620E">
            <w:pPr>
              <w:pStyle w:val="TableParagraph"/>
              <w:spacing w:before="2"/>
            </w:pPr>
            <w:r>
              <w:t>Estimated</w:t>
            </w:r>
            <w:r>
              <w:rPr>
                <w:spacing w:val="-16"/>
              </w:rPr>
              <w:t xml:space="preserve"> </w:t>
            </w:r>
            <w:r>
              <w:t>Budget</w:t>
            </w:r>
            <w:r>
              <w:rPr>
                <w:spacing w:val="-15"/>
              </w:rPr>
              <w:t xml:space="preserve"> </w:t>
            </w:r>
            <w:r>
              <w:t xml:space="preserve">(Item-by- </w:t>
            </w:r>
            <w:r>
              <w:rPr>
                <w:spacing w:val="-2"/>
              </w:rPr>
              <w:t>items)</w:t>
            </w:r>
          </w:p>
        </w:tc>
        <w:tc>
          <w:tcPr>
            <w:tcW w:w="3375" w:type="dxa"/>
          </w:tcPr>
          <w:p w14:paraId="4F12CAAF" w14:textId="77777777" w:rsidR="00405AA1" w:rsidRDefault="00B2620E">
            <w:pPr>
              <w:pStyle w:val="TableParagraph"/>
              <w:spacing w:before="2"/>
              <w:rPr>
                <w:i/>
              </w:rPr>
            </w:pPr>
            <w:r>
              <w:rPr>
                <w:i/>
              </w:rPr>
              <w:t>Cost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Item</w:t>
            </w:r>
          </w:p>
        </w:tc>
        <w:tc>
          <w:tcPr>
            <w:tcW w:w="1887" w:type="dxa"/>
          </w:tcPr>
          <w:p w14:paraId="1EF67903" w14:textId="77777777" w:rsidR="00405AA1" w:rsidRDefault="00B2620E">
            <w:pPr>
              <w:pStyle w:val="TableParagraph"/>
              <w:spacing w:line="252" w:lineRule="exact"/>
              <w:ind w:left="1017" w:right="93" w:hanging="185"/>
              <w:rPr>
                <w:i/>
              </w:rPr>
            </w:pPr>
            <w:r>
              <w:rPr>
                <w:i/>
                <w:spacing w:val="-2"/>
              </w:rPr>
              <w:t>Budgeted Amount</w:t>
            </w:r>
          </w:p>
        </w:tc>
      </w:tr>
      <w:tr w:rsidR="00405AA1" w14:paraId="6ED3611A" w14:textId="77777777">
        <w:trPr>
          <w:trHeight w:val="506"/>
        </w:trPr>
        <w:tc>
          <w:tcPr>
            <w:tcW w:w="828" w:type="dxa"/>
            <w:vMerge/>
            <w:tcBorders>
              <w:top w:val="nil"/>
            </w:tcBorders>
          </w:tcPr>
          <w:p w14:paraId="734FD9D9" w14:textId="77777777" w:rsidR="00405AA1" w:rsidRDefault="00405AA1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14:paraId="5965607A" w14:textId="77777777" w:rsidR="00405AA1" w:rsidRDefault="00405AA1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213311E5" w14:textId="0737D616" w:rsidR="00F63058" w:rsidRPr="00E2264E" w:rsidRDefault="007259F3" w:rsidP="001C7A4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2264E">
              <w:rPr>
                <w:b/>
                <w:bCs/>
                <w:sz w:val="20"/>
                <w:szCs w:val="20"/>
              </w:rPr>
              <w:t xml:space="preserve">Phase </w:t>
            </w:r>
            <w:r w:rsidR="00E165D5">
              <w:rPr>
                <w:b/>
                <w:bCs/>
                <w:sz w:val="20"/>
                <w:szCs w:val="20"/>
              </w:rPr>
              <w:t>2</w:t>
            </w:r>
            <w:r w:rsidRPr="00E2264E">
              <w:rPr>
                <w:b/>
                <w:bCs/>
                <w:sz w:val="20"/>
                <w:szCs w:val="20"/>
              </w:rPr>
              <w:t xml:space="preserve">: </w:t>
            </w:r>
            <w:r w:rsidR="00E165D5">
              <w:rPr>
                <w:b/>
                <w:bCs/>
                <w:sz w:val="20"/>
                <w:szCs w:val="20"/>
              </w:rPr>
              <w:t xml:space="preserve">1 April to 1 November </w:t>
            </w:r>
            <w:r w:rsidRPr="00E2264E">
              <w:rPr>
                <w:b/>
                <w:bCs/>
                <w:sz w:val="20"/>
                <w:szCs w:val="20"/>
              </w:rPr>
              <w:t xml:space="preserve">2023: Innovations for Higher Productivity </w:t>
            </w:r>
          </w:p>
        </w:tc>
        <w:tc>
          <w:tcPr>
            <w:tcW w:w="1887" w:type="dxa"/>
          </w:tcPr>
          <w:p w14:paraId="3F425569" w14:textId="35A689C7" w:rsidR="00405AA1" w:rsidRDefault="00405AA1">
            <w:pPr>
              <w:pStyle w:val="TableParagraph"/>
              <w:ind w:left="0" w:right="96"/>
              <w:jc w:val="right"/>
            </w:pPr>
          </w:p>
        </w:tc>
      </w:tr>
      <w:tr w:rsidR="001C7A43" w14:paraId="09D61DEB" w14:textId="77777777">
        <w:trPr>
          <w:trHeight w:val="506"/>
        </w:trPr>
        <w:tc>
          <w:tcPr>
            <w:tcW w:w="828" w:type="dxa"/>
            <w:vMerge/>
            <w:tcBorders>
              <w:top w:val="nil"/>
            </w:tcBorders>
          </w:tcPr>
          <w:p w14:paraId="454AD78E" w14:textId="77777777" w:rsidR="001C7A43" w:rsidRDefault="001C7A43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14:paraId="633C46D7" w14:textId="77777777" w:rsidR="001C7A43" w:rsidRDefault="001C7A43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08DCCFE2" w14:textId="77777777" w:rsidR="001C7A43" w:rsidRPr="00D33791" w:rsidRDefault="001C7A43" w:rsidP="007259F3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52" w:lineRule="exact"/>
              <w:jc w:val="both"/>
            </w:pPr>
            <w:r>
              <w:t>Productivity Promotiona</w:t>
            </w:r>
            <w:r>
              <w:rPr>
                <w:spacing w:val="-2"/>
              </w:rPr>
              <w:t>l Content</w:t>
            </w:r>
            <w:r w:rsidR="00E2264E">
              <w:rPr>
                <w:spacing w:val="-2"/>
              </w:rPr>
              <w:t xml:space="preserve"> Development</w:t>
            </w:r>
          </w:p>
          <w:p w14:paraId="6A5AC55E" w14:textId="77777777" w:rsidR="00D33791" w:rsidRDefault="00D33791" w:rsidP="00D3379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2" w:lineRule="exact"/>
              <w:jc w:val="both"/>
            </w:pPr>
            <w:r>
              <w:t>Promotional Efforts</w:t>
            </w:r>
          </w:p>
          <w:p w14:paraId="49DD9E49" w14:textId="77777777" w:rsidR="00D33791" w:rsidRDefault="00D33791" w:rsidP="00D3379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2" w:lineRule="exact"/>
              <w:jc w:val="both"/>
            </w:pPr>
            <w:r>
              <w:t>Digital Marketing</w:t>
            </w:r>
          </w:p>
          <w:p w14:paraId="1A76814C" w14:textId="106495B9" w:rsidR="00D33791" w:rsidRPr="001C7A43" w:rsidRDefault="00D33791" w:rsidP="00D33791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2" w:lineRule="exact"/>
              <w:jc w:val="both"/>
            </w:pPr>
            <w:r>
              <w:t>Social media activities</w:t>
            </w:r>
          </w:p>
        </w:tc>
        <w:tc>
          <w:tcPr>
            <w:tcW w:w="1887" w:type="dxa"/>
          </w:tcPr>
          <w:p w14:paraId="4F4AF642" w14:textId="4E8433E6" w:rsidR="001C7A43" w:rsidRDefault="001C7A43">
            <w:pPr>
              <w:pStyle w:val="TableParagraph"/>
              <w:ind w:left="0" w:right="96"/>
              <w:jc w:val="right"/>
              <w:rPr>
                <w:spacing w:val="-2"/>
              </w:rPr>
            </w:pPr>
            <w:r>
              <w:rPr>
                <w:spacing w:val="-2"/>
              </w:rPr>
              <w:t xml:space="preserve">RM </w:t>
            </w:r>
            <w:r w:rsidR="00D33791">
              <w:rPr>
                <w:spacing w:val="-2"/>
              </w:rPr>
              <w:t>4</w:t>
            </w:r>
            <w:r>
              <w:rPr>
                <w:spacing w:val="-2"/>
              </w:rPr>
              <w:t>0,000.00</w:t>
            </w:r>
          </w:p>
        </w:tc>
      </w:tr>
      <w:tr w:rsidR="001C7A43" w14:paraId="3A409D5F" w14:textId="77777777">
        <w:trPr>
          <w:trHeight w:val="506"/>
        </w:trPr>
        <w:tc>
          <w:tcPr>
            <w:tcW w:w="828" w:type="dxa"/>
            <w:vMerge/>
            <w:tcBorders>
              <w:top w:val="nil"/>
            </w:tcBorders>
          </w:tcPr>
          <w:p w14:paraId="0784ECC5" w14:textId="77777777" w:rsidR="001C7A43" w:rsidRDefault="001C7A43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14:paraId="117BE430" w14:textId="77777777" w:rsidR="001C7A43" w:rsidRDefault="001C7A43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</w:tcPr>
          <w:p w14:paraId="44EF4336" w14:textId="77777777" w:rsidR="001C7A43" w:rsidRDefault="001C7A43" w:rsidP="001C7A43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1C7A43">
              <w:rPr>
                <w:sz w:val="22"/>
                <w:szCs w:val="22"/>
              </w:rPr>
              <w:t>Media engagement and promotions</w:t>
            </w:r>
          </w:p>
          <w:p w14:paraId="3AEAF4DD" w14:textId="2FEF0095" w:rsidR="00D33791" w:rsidRDefault="00D33791" w:rsidP="00D33791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Networking engagements &amp; Seminars</w:t>
            </w:r>
          </w:p>
          <w:p w14:paraId="58EDC144" w14:textId="57C0B613" w:rsidR="00D33791" w:rsidRPr="007259F3" w:rsidRDefault="00D33791" w:rsidP="00D33791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Competitions &amp; Exhibitions</w:t>
            </w:r>
          </w:p>
        </w:tc>
        <w:tc>
          <w:tcPr>
            <w:tcW w:w="1887" w:type="dxa"/>
          </w:tcPr>
          <w:p w14:paraId="341C3C43" w14:textId="51716213" w:rsidR="001C7A43" w:rsidRDefault="001C7A43">
            <w:pPr>
              <w:pStyle w:val="TableParagraph"/>
              <w:ind w:left="0" w:right="96"/>
              <w:jc w:val="right"/>
              <w:rPr>
                <w:spacing w:val="-2"/>
              </w:rPr>
            </w:pPr>
            <w:r>
              <w:rPr>
                <w:spacing w:val="-2"/>
              </w:rPr>
              <w:t>RM</w:t>
            </w:r>
            <w:r w:rsidR="00D33791">
              <w:rPr>
                <w:spacing w:val="-2"/>
              </w:rPr>
              <w:t>6</w:t>
            </w:r>
            <w:r>
              <w:rPr>
                <w:spacing w:val="-2"/>
              </w:rPr>
              <w:t>0,000.00</w:t>
            </w:r>
          </w:p>
        </w:tc>
      </w:tr>
      <w:tr w:rsidR="00405AA1" w14:paraId="44C6DC72" w14:textId="77777777">
        <w:trPr>
          <w:trHeight w:val="393"/>
        </w:trPr>
        <w:tc>
          <w:tcPr>
            <w:tcW w:w="828" w:type="dxa"/>
            <w:vMerge/>
            <w:tcBorders>
              <w:top w:val="nil"/>
            </w:tcBorders>
          </w:tcPr>
          <w:p w14:paraId="78656963" w14:textId="77777777" w:rsidR="00405AA1" w:rsidRDefault="00405AA1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14:paraId="658903B5" w14:textId="77777777" w:rsidR="00405AA1" w:rsidRDefault="00405AA1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vMerge w:val="restart"/>
          </w:tcPr>
          <w:p w14:paraId="546023A0" w14:textId="77777777" w:rsidR="00405AA1" w:rsidRDefault="00B2620E">
            <w:pPr>
              <w:pStyle w:val="TableParagraph"/>
              <w:spacing w:before="2"/>
              <w:ind w:left="0"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Total:</w:t>
            </w:r>
          </w:p>
        </w:tc>
        <w:tc>
          <w:tcPr>
            <w:tcW w:w="1887" w:type="dxa"/>
          </w:tcPr>
          <w:p w14:paraId="0743880C" w14:textId="0973B88C" w:rsidR="00405AA1" w:rsidRDefault="004E521E">
            <w:pPr>
              <w:pStyle w:val="TableParagraph"/>
              <w:spacing w:before="2"/>
              <w:ind w:left="0" w:right="96"/>
              <w:jc w:val="right"/>
            </w:pPr>
            <w:r>
              <w:rPr>
                <w:spacing w:val="-2"/>
              </w:rPr>
              <w:t>RM</w:t>
            </w:r>
            <w:r w:rsidR="003F5F07">
              <w:rPr>
                <w:spacing w:val="-2"/>
              </w:rPr>
              <w:t>1</w:t>
            </w:r>
            <w:r w:rsidR="007259F3">
              <w:rPr>
                <w:spacing w:val="-2"/>
              </w:rPr>
              <w:t>00</w:t>
            </w:r>
            <w:r>
              <w:rPr>
                <w:spacing w:val="-2"/>
              </w:rPr>
              <w:t>,000.00</w:t>
            </w:r>
          </w:p>
        </w:tc>
      </w:tr>
      <w:tr w:rsidR="00405AA1" w14:paraId="7F7D8FA5" w14:textId="77777777" w:rsidTr="004E521E">
        <w:trPr>
          <w:trHeight w:val="513"/>
        </w:trPr>
        <w:tc>
          <w:tcPr>
            <w:tcW w:w="828" w:type="dxa"/>
            <w:vMerge/>
            <w:tcBorders>
              <w:top w:val="nil"/>
            </w:tcBorders>
          </w:tcPr>
          <w:p w14:paraId="1C03E213" w14:textId="77777777" w:rsidR="00405AA1" w:rsidRDefault="00405AA1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14:paraId="5C04B284" w14:textId="77777777" w:rsidR="00405AA1" w:rsidRDefault="00405AA1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vMerge/>
            <w:tcBorders>
              <w:top w:val="nil"/>
            </w:tcBorders>
          </w:tcPr>
          <w:p w14:paraId="3B4153F6" w14:textId="77777777" w:rsidR="00405AA1" w:rsidRDefault="00405AA1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14:paraId="657974AA" w14:textId="314C6DBD" w:rsidR="00405AA1" w:rsidRDefault="00B2620E" w:rsidP="004E521E">
            <w:pPr>
              <w:pStyle w:val="TableParagraph"/>
              <w:ind w:left="210"/>
            </w:pPr>
            <w:r>
              <w:rPr>
                <w:spacing w:val="-2"/>
              </w:rPr>
              <w:t>USD$</w:t>
            </w:r>
            <w:r w:rsidR="003F5F07">
              <w:rPr>
                <w:spacing w:val="-2"/>
              </w:rPr>
              <w:t>25</w:t>
            </w:r>
            <w:r w:rsidR="004E521E">
              <w:rPr>
                <w:spacing w:val="-2"/>
              </w:rPr>
              <w:t>,000.00</w:t>
            </w:r>
          </w:p>
        </w:tc>
      </w:tr>
      <w:tr w:rsidR="00405AA1" w14:paraId="52C9CE74" w14:textId="77777777">
        <w:trPr>
          <w:trHeight w:val="503"/>
        </w:trPr>
        <w:tc>
          <w:tcPr>
            <w:tcW w:w="828" w:type="dxa"/>
          </w:tcPr>
          <w:p w14:paraId="3BB14B41" w14:textId="77777777" w:rsidR="00405AA1" w:rsidRDefault="00B2620E">
            <w:pPr>
              <w:pStyle w:val="TableParagraph"/>
              <w:spacing w:line="251" w:lineRule="exact"/>
              <w:ind w:left="9"/>
              <w:jc w:val="center"/>
            </w:pPr>
            <w:r>
              <w:t>9</w:t>
            </w:r>
          </w:p>
        </w:tc>
        <w:tc>
          <w:tcPr>
            <w:tcW w:w="2929" w:type="dxa"/>
          </w:tcPr>
          <w:p w14:paraId="1BA0D8DA" w14:textId="77777777" w:rsidR="00405AA1" w:rsidRDefault="00B2620E">
            <w:pPr>
              <w:pStyle w:val="TableParagraph"/>
              <w:spacing w:line="251" w:lineRule="exac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5262" w:type="dxa"/>
            <w:gridSpan w:val="2"/>
          </w:tcPr>
          <w:p w14:paraId="04ABEDAE" w14:textId="564FD776" w:rsidR="00405AA1" w:rsidRDefault="00B2620E">
            <w:pPr>
              <w:pStyle w:val="TableParagraph"/>
              <w:spacing w:line="254" w:lineRule="exact"/>
            </w:pPr>
            <w:r>
              <w:t>More</w:t>
            </w:r>
            <w:r>
              <w:rPr>
                <w:spacing w:val="29"/>
              </w:rPr>
              <w:t xml:space="preserve"> </w:t>
            </w:r>
            <w:r>
              <w:t>information</w:t>
            </w:r>
            <w:r>
              <w:rPr>
                <w:spacing w:val="31"/>
              </w:rPr>
              <w:t xml:space="preserve"> </w:t>
            </w:r>
            <w:r>
              <w:t>will</w:t>
            </w:r>
            <w:r>
              <w:rPr>
                <w:spacing w:val="30"/>
              </w:rPr>
              <w:t xml:space="preserve"> </w:t>
            </w:r>
            <w:r>
              <w:t>be</w:t>
            </w:r>
            <w:r>
              <w:rPr>
                <w:spacing w:val="33"/>
              </w:rPr>
              <w:t xml:space="preserve"> </w:t>
            </w:r>
            <w:r>
              <w:t>supplemented</w:t>
            </w:r>
            <w:r>
              <w:rPr>
                <w:spacing w:val="32"/>
              </w:rPr>
              <w:t xml:space="preserve"> </w:t>
            </w:r>
            <w:r>
              <w:t>in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 xml:space="preserve">end report </w:t>
            </w:r>
            <w:r w:rsidR="003F5F07">
              <w:t xml:space="preserve">i.e., </w:t>
            </w:r>
            <w:r>
              <w:t>project outcome</w:t>
            </w:r>
          </w:p>
        </w:tc>
      </w:tr>
    </w:tbl>
    <w:p w14:paraId="2302125B" w14:textId="77777777" w:rsidR="00F84BA6" w:rsidRDefault="00F84BA6"/>
    <w:sectPr w:rsidR="00F84BA6">
      <w:type w:val="continuous"/>
      <w:pgSz w:w="11910" w:h="16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926D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72CC8"/>
    <w:multiLevelType w:val="hybridMultilevel"/>
    <w:tmpl w:val="21729614"/>
    <w:lvl w:ilvl="0" w:tplc="2CC00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33A8"/>
    <w:multiLevelType w:val="hybridMultilevel"/>
    <w:tmpl w:val="CAE2BF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4F0F"/>
    <w:multiLevelType w:val="hybridMultilevel"/>
    <w:tmpl w:val="7DD850C4"/>
    <w:lvl w:ilvl="0" w:tplc="0140675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B4065E">
      <w:start w:val="1"/>
      <w:numFmt w:val="lowerLetter"/>
      <w:lvlText w:val="%2)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66C371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3" w:tplc="E008108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4" w:tplc="5DDA1158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5" w:tplc="9CA840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6" w:tplc="20CC84A6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7" w:tplc="76A64EEC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8" w:tplc="1C96003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B96B8E"/>
    <w:multiLevelType w:val="hybridMultilevel"/>
    <w:tmpl w:val="04AEDBE0"/>
    <w:lvl w:ilvl="0" w:tplc="D62870FA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6AE4DCE">
      <w:numFmt w:val="bullet"/>
      <w:lvlText w:val="•"/>
      <w:lvlJc w:val="left"/>
      <w:pPr>
        <w:ind w:left="939" w:hanging="360"/>
      </w:pPr>
      <w:rPr>
        <w:rFonts w:hint="default"/>
        <w:lang w:val="en-US" w:eastAsia="en-US" w:bidi="ar-SA"/>
      </w:rPr>
    </w:lvl>
    <w:lvl w:ilvl="2" w:tplc="588434A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3" w:tplc="623C05BA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4" w:tplc="F094F7C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2760D260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6" w:tplc="5ECE6680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7" w:tplc="BDF0379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8" w:tplc="9A6EDA02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2E1CD6"/>
    <w:multiLevelType w:val="hybridMultilevel"/>
    <w:tmpl w:val="11EE52D6"/>
    <w:lvl w:ilvl="0" w:tplc="FF564B66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07" w:hanging="360"/>
      </w:pPr>
    </w:lvl>
    <w:lvl w:ilvl="2" w:tplc="4409001B" w:tentative="1">
      <w:start w:val="1"/>
      <w:numFmt w:val="lowerRoman"/>
      <w:lvlText w:val="%3."/>
      <w:lvlJc w:val="right"/>
      <w:pPr>
        <w:ind w:left="2627" w:hanging="180"/>
      </w:pPr>
    </w:lvl>
    <w:lvl w:ilvl="3" w:tplc="4409000F" w:tentative="1">
      <w:start w:val="1"/>
      <w:numFmt w:val="decimal"/>
      <w:lvlText w:val="%4."/>
      <w:lvlJc w:val="left"/>
      <w:pPr>
        <w:ind w:left="3347" w:hanging="360"/>
      </w:pPr>
    </w:lvl>
    <w:lvl w:ilvl="4" w:tplc="44090019" w:tentative="1">
      <w:start w:val="1"/>
      <w:numFmt w:val="lowerLetter"/>
      <w:lvlText w:val="%5."/>
      <w:lvlJc w:val="left"/>
      <w:pPr>
        <w:ind w:left="4067" w:hanging="360"/>
      </w:pPr>
    </w:lvl>
    <w:lvl w:ilvl="5" w:tplc="4409001B" w:tentative="1">
      <w:start w:val="1"/>
      <w:numFmt w:val="lowerRoman"/>
      <w:lvlText w:val="%6."/>
      <w:lvlJc w:val="right"/>
      <w:pPr>
        <w:ind w:left="4787" w:hanging="180"/>
      </w:pPr>
    </w:lvl>
    <w:lvl w:ilvl="6" w:tplc="4409000F" w:tentative="1">
      <w:start w:val="1"/>
      <w:numFmt w:val="decimal"/>
      <w:lvlText w:val="%7."/>
      <w:lvlJc w:val="left"/>
      <w:pPr>
        <w:ind w:left="5507" w:hanging="360"/>
      </w:pPr>
    </w:lvl>
    <w:lvl w:ilvl="7" w:tplc="44090019" w:tentative="1">
      <w:start w:val="1"/>
      <w:numFmt w:val="lowerLetter"/>
      <w:lvlText w:val="%8."/>
      <w:lvlJc w:val="left"/>
      <w:pPr>
        <w:ind w:left="6227" w:hanging="360"/>
      </w:pPr>
    </w:lvl>
    <w:lvl w:ilvl="8" w:tplc="4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6" w15:restartNumberingAfterBreak="0">
    <w:nsid w:val="2BC73978"/>
    <w:multiLevelType w:val="hybridMultilevel"/>
    <w:tmpl w:val="08089D32"/>
    <w:lvl w:ilvl="0" w:tplc="FFFFFFFF">
      <w:start w:val="1"/>
      <w:numFmt w:val="lowerLetter"/>
      <w:lvlText w:val="%1."/>
      <w:lvlJc w:val="left"/>
      <w:pPr>
        <w:ind w:left="827" w:hanging="360"/>
      </w:pPr>
      <w:rPr>
        <w:rFonts w:ascii="Arial" w:eastAsiaTheme="minorHAnsi" w:hAnsi="Arial" w:cs="Arial"/>
      </w:rPr>
    </w:lvl>
    <w:lvl w:ilvl="1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376D0EA8"/>
    <w:multiLevelType w:val="hybridMultilevel"/>
    <w:tmpl w:val="F6AE3B18"/>
    <w:lvl w:ilvl="0" w:tplc="9A86A45E">
      <w:start w:val="1"/>
      <w:numFmt w:val="decimal"/>
      <w:lvlText w:val="%1."/>
      <w:lvlJc w:val="left"/>
      <w:pPr>
        <w:ind w:left="49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328392E">
      <w:numFmt w:val="bullet"/>
      <w:lvlText w:val="•"/>
      <w:lvlJc w:val="left"/>
      <w:pPr>
        <w:ind w:left="975" w:hanging="425"/>
      </w:pPr>
      <w:rPr>
        <w:rFonts w:hint="default"/>
        <w:lang w:val="en-US" w:eastAsia="en-US" w:bidi="ar-SA"/>
      </w:rPr>
    </w:lvl>
    <w:lvl w:ilvl="2" w:tplc="F1E8E69C">
      <w:numFmt w:val="bullet"/>
      <w:lvlText w:val="•"/>
      <w:lvlJc w:val="left"/>
      <w:pPr>
        <w:ind w:left="1450" w:hanging="425"/>
      </w:pPr>
      <w:rPr>
        <w:rFonts w:hint="default"/>
        <w:lang w:val="en-US" w:eastAsia="en-US" w:bidi="ar-SA"/>
      </w:rPr>
    </w:lvl>
    <w:lvl w:ilvl="3" w:tplc="6FBAC07E">
      <w:numFmt w:val="bullet"/>
      <w:lvlText w:val="•"/>
      <w:lvlJc w:val="left"/>
      <w:pPr>
        <w:ind w:left="1925" w:hanging="425"/>
      </w:pPr>
      <w:rPr>
        <w:rFonts w:hint="default"/>
        <w:lang w:val="en-US" w:eastAsia="en-US" w:bidi="ar-SA"/>
      </w:rPr>
    </w:lvl>
    <w:lvl w:ilvl="4" w:tplc="1FDE109A">
      <w:numFmt w:val="bullet"/>
      <w:lvlText w:val="•"/>
      <w:lvlJc w:val="left"/>
      <w:pPr>
        <w:ind w:left="2400" w:hanging="425"/>
      </w:pPr>
      <w:rPr>
        <w:rFonts w:hint="default"/>
        <w:lang w:val="en-US" w:eastAsia="en-US" w:bidi="ar-SA"/>
      </w:rPr>
    </w:lvl>
    <w:lvl w:ilvl="5" w:tplc="33269E4C">
      <w:numFmt w:val="bullet"/>
      <w:lvlText w:val="•"/>
      <w:lvlJc w:val="left"/>
      <w:pPr>
        <w:ind w:left="2876" w:hanging="425"/>
      </w:pPr>
      <w:rPr>
        <w:rFonts w:hint="default"/>
        <w:lang w:val="en-US" w:eastAsia="en-US" w:bidi="ar-SA"/>
      </w:rPr>
    </w:lvl>
    <w:lvl w:ilvl="6" w:tplc="6358A88C">
      <w:numFmt w:val="bullet"/>
      <w:lvlText w:val="•"/>
      <w:lvlJc w:val="left"/>
      <w:pPr>
        <w:ind w:left="3351" w:hanging="425"/>
      </w:pPr>
      <w:rPr>
        <w:rFonts w:hint="default"/>
        <w:lang w:val="en-US" w:eastAsia="en-US" w:bidi="ar-SA"/>
      </w:rPr>
    </w:lvl>
    <w:lvl w:ilvl="7" w:tplc="A60495E8">
      <w:numFmt w:val="bullet"/>
      <w:lvlText w:val="•"/>
      <w:lvlJc w:val="left"/>
      <w:pPr>
        <w:ind w:left="3826" w:hanging="425"/>
      </w:pPr>
      <w:rPr>
        <w:rFonts w:hint="default"/>
        <w:lang w:val="en-US" w:eastAsia="en-US" w:bidi="ar-SA"/>
      </w:rPr>
    </w:lvl>
    <w:lvl w:ilvl="8" w:tplc="4A528FD8">
      <w:numFmt w:val="bullet"/>
      <w:lvlText w:val="•"/>
      <w:lvlJc w:val="left"/>
      <w:pPr>
        <w:ind w:left="4301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379A5C86"/>
    <w:multiLevelType w:val="hybridMultilevel"/>
    <w:tmpl w:val="8D5A5998"/>
    <w:lvl w:ilvl="0" w:tplc="862227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874BF06">
      <w:numFmt w:val="bullet"/>
      <w:lvlText w:val="•"/>
      <w:lvlJc w:val="left"/>
      <w:pPr>
        <w:ind w:left="750" w:hanging="360"/>
      </w:pPr>
      <w:rPr>
        <w:rFonts w:hint="default"/>
        <w:lang w:val="en-US" w:eastAsia="en-US" w:bidi="ar-SA"/>
      </w:rPr>
    </w:lvl>
    <w:lvl w:ilvl="2" w:tplc="BD0886BE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ar-SA"/>
      </w:rPr>
    </w:lvl>
    <w:lvl w:ilvl="3" w:tplc="B11C20CA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4" w:tplc="5E30EAB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5" w:tplc="586202E8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6" w:tplc="FFBC639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7" w:tplc="ABF8EE88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8B0A6EA0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2626BD4"/>
    <w:multiLevelType w:val="hybridMultilevel"/>
    <w:tmpl w:val="C4406D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549EE"/>
    <w:multiLevelType w:val="hybridMultilevel"/>
    <w:tmpl w:val="E23482E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43184"/>
    <w:multiLevelType w:val="hybridMultilevel"/>
    <w:tmpl w:val="8D6CDC78"/>
    <w:lvl w:ilvl="0" w:tplc="95404168">
      <w:start w:val="1"/>
      <w:numFmt w:val="lowerLetter"/>
      <w:lvlText w:val="%1."/>
      <w:lvlJc w:val="left"/>
      <w:pPr>
        <w:ind w:left="827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5FEA5A74"/>
    <w:multiLevelType w:val="hybridMultilevel"/>
    <w:tmpl w:val="8CB2057C"/>
    <w:lvl w:ilvl="0" w:tplc="729081D0">
      <w:numFmt w:val="bullet"/>
      <w:lvlText w:val="-"/>
      <w:lvlJc w:val="left"/>
      <w:pPr>
        <w:ind w:left="1187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3" w15:restartNumberingAfterBreak="0">
    <w:nsid w:val="6364431F"/>
    <w:multiLevelType w:val="hybridMultilevel"/>
    <w:tmpl w:val="85DE1BC8"/>
    <w:lvl w:ilvl="0" w:tplc="4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C6B0D52"/>
    <w:multiLevelType w:val="hybridMultilevel"/>
    <w:tmpl w:val="835E11E8"/>
    <w:lvl w:ilvl="0" w:tplc="4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 w15:restartNumberingAfterBreak="0">
    <w:nsid w:val="7BA41AD3"/>
    <w:multiLevelType w:val="hybridMultilevel"/>
    <w:tmpl w:val="68BE9812"/>
    <w:lvl w:ilvl="0" w:tplc="DB40DD4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935354591">
    <w:abstractNumId w:val="8"/>
  </w:num>
  <w:num w:numId="2" w16cid:durableId="824973559">
    <w:abstractNumId w:val="7"/>
  </w:num>
  <w:num w:numId="3" w16cid:durableId="12928668">
    <w:abstractNumId w:val="3"/>
  </w:num>
  <w:num w:numId="4" w16cid:durableId="484469688">
    <w:abstractNumId w:val="4"/>
  </w:num>
  <w:num w:numId="5" w16cid:durableId="353774471">
    <w:abstractNumId w:val="0"/>
  </w:num>
  <w:num w:numId="6" w16cid:durableId="638807088">
    <w:abstractNumId w:val="10"/>
  </w:num>
  <w:num w:numId="7" w16cid:durableId="658997159">
    <w:abstractNumId w:val="2"/>
  </w:num>
  <w:num w:numId="8" w16cid:durableId="1200581074">
    <w:abstractNumId w:val="15"/>
  </w:num>
  <w:num w:numId="9" w16cid:durableId="239675854">
    <w:abstractNumId w:val="5"/>
  </w:num>
  <w:num w:numId="10" w16cid:durableId="1128359429">
    <w:abstractNumId w:val="11"/>
  </w:num>
  <w:num w:numId="11" w16cid:durableId="22874451">
    <w:abstractNumId w:val="6"/>
  </w:num>
  <w:num w:numId="12" w16cid:durableId="1483307259">
    <w:abstractNumId w:val="1"/>
  </w:num>
  <w:num w:numId="13" w16cid:durableId="1931695122">
    <w:abstractNumId w:val="14"/>
  </w:num>
  <w:num w:numId="14" w16cid:durableId="942807156">
    <w:abstractNumId w:val="9"/>
  </w:num>
  <w:num w:numId="15" w16cid:durableId="1613856175">
    <w:abstractNumId w:val="13"/>
  </w:num>
  <w:num w:numId="16" w16cid:durableId="1161656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A1"/>
    <w:rsid w:val="00007FFA"/>
    <w:rsid w:val="000420ED"/>
    <w:rsid w:val="00056D5B"/>
    <w:rsid w:val="00084692"/>
    <w:rsid w:val="00170FCD"/>
    <w:rsid w:val="001C7A43"/>
    <w:rsid w:val="00336A10"/>
    <w:rsid w:val="0037644F"/>
    <w:rsid w:val="003A0749"/>
    <w:rsid w:val="003A1AE9"/>
    <w:rsid w:val="003F5F07"/>
    <w:rsid w:val="00405AA1"/>
    <w:rsid w:val="00423AB7"/>
    <w:rsid w:val="00436597"/>
    <w:rsid w:val="00466886"/>
    <w:rsid w:val="004977EA"/>
    <w:rsid w:val="004E521E"/>
    <w:rsid w:val="005D236E"/>
    <w:rsid w:val="0062332B"/>
    <w:rsid w:val="00651216"/>
    <w:rsid w:val="00686947"/>
    <w:rsid w:val="00714634"/>
    <w:rsid w:val="00720356"/>
    <w:rsid w:val="007259F3"/>
    <w:rsid w:val="00761A06"/>
    <w:rsid w:val="00785754"/>
    <w:rsid w:val="00876524"/>
    <w:rsid w:val="008C0E3E"/>
    <w:rsid w:val="00971D4B"/>
    <w:rsid w:val="009C5353"/>
    <w:rsid w:val="009D3DFA"/>
    <w:rsid w:val="00A10526"/>
    <w:rsid w:val="00A67D0C"/>
    <w:rsid w:val="00AC4068"/>
    <w:rsid w:val="00AF1244"/>
    <w:rsid w:val="00AF1DAA"/>
    <w:rsid w:val="00AF5AC6"/>
    <w:rsid w:val="00B2620E"/>
    <w:rsid w:val="00B51D14"/>
    <w:rsid w:val="00B658C3"/>
    <w:rsid w:val="00B65AFE"/>
    <w:rsid w:val="00BA0773"/>
    <w:rsid w:val="00C45DCF"/>
    <w:rsid w:val="00C931A4"/>
    <w:rsid w:val="00CB7E93"/>
    <w:rsid w:val="00D33791"/>
    <w:rsid w:val="00D503EC"/>
    <w:rsid w:val="00D9285F"/>
    <w:rsid w:val="00DA50E0"/>
    <w:rsid w:val="00E165D5"/>
    <w:rsid w:val="00E2264E"/>
    <w:rsid w:val="00E70208"/>
    <w:rsid w:val="00EB6FAC"/>
    <w:rsid w:val="00ED41A9"/>
    <w:rsid w:val="00F27B3F"/>
    <w:rsid w:val="00F63058"/>
    <w:rsid w:val="00F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0B67"/>
  <w15:docId w15:val="{B7E03219-99B5-43E3-BEB3-90096B7A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5D236E"/>
    <w:pPr>
      <w:widowControl/>
      <w:adjustRightInd w:val="0"/>
    </w:pPr>
    <w:rPr>
      <w:rFonts w:ascii="Arial" w:hAnsi="Arial" w:cs="Arial"/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SHUM</dc:creator>
  <cp:lastModifiedBy>Nik Haneez Amizan Nik Rosdi</cp:lastModifiedBy>
  <cp:revision>2</cp:revision>
  <dcterms:created xsi:type="dcterms:W3CDTF">2023-04-06T02:36:00Z</dcterms:created>
  <dcterms:modified xsi:type="dcterms:W3CDTF">2023-04-06T02:36:00Z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2022-09-06T00:00:00Z</vt:filetime>
  </property>
  <property fmtid="{D5CDD505-2E9C-101B-9397-08002B2CF9AE}" pid="5" name="Producer">
    <vt:lpwstr>Microsoft® Word for Microsoft 365</vt:lpwstr>
  </property>
</Properties>
</file>