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57579733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 xml:space="preserve">LEMBAGA PENGURUSAN MPC </w:t>
      </w:r>
      <w:r w:rsidRPr="00614C2C">
        <w:rPr>
          <w:b/>
          <w:bCs/>
          <w:color w:val="0070C0"/>
          <w:lang w:val="ms-MY"/>
        </w:rPr>
        <w:t>(BOM</w:t>
      </w:r>
      <w:r w:rsidR="00F60210" w:rsidRPr="00614C2C">
        <w:rPr>
          <w:b/>
          <w:bCs/>
          <w:color w:val="0070C0"/>
          <w:lang w:val="ms-MY"/>
        </w:rPr>
        <w:t xml:space="preserve"> MAKLUMAN</w:t>
      </w:r>
      <w:r w:rsidRPr="00614C2C">
        <w:rPr>
          <w:b/>
          <w:bCs/>
          <w:color w:val="0070C0"/>
          <w:lang w:val="ms-MY"/>
        </w:rPr>
        <w:t>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F6BED47" w:rsidR="001635BA" w:rsidRPr="006C5E8D" w:rsidRDefault="001F7FF8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E73DF1">
              <w:rPr>
                <w:bCs/>
                <w:sz w:val="22"/>
                <w:szCs w:val="22"/>
              </w:rPr>
              <w:t>The Publication of Malaysia Behavioural Insights (BI) Guideline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002F40F" w:rsidR="001635BA" w:rsidRPr="00DF3A1E" w:rsidRDefault="00060347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 xml:space="preserve">October 2022 - </w:t>
            </w:r>
            <w:r w:rsidR="005A49C3">
              <w:rPr>
                <w:bCs/>
                <w:sz w:val="22"/>
                <w:szCs w:val="22"/>
              </w:rPr>
              <w:t xml:space="preserve">December </w:t>
            </w:r>
            <w:r w:rsidR="001F7FF8">
              <w:rPr>
                <w:bCs/>
                <w:sz w:val="22"/>
                <w:szCs w:val="22"/>
              </w:rPr>
              <w:t>2022</w:t>
            </w:r>
          </w:p>
        </w:tc>
      </w:tr>
      <w:tr w:rsidR="001635BA" w:rsidRPr="00EA0172" w14:paraId="2CDCE1EB" w14:textId="77777777" w:rsidTr="00F024C9">
        <w:trPr>
          <w:trHeight w:val="3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8FC8" w14:textId="39B914AE" w:rsidR="00E74405" w:rsidRPr="002B7979" w:rsidRDefault="00E74405" w:rsidP="00232962">
            <w:pPr>
              <w:spacing w:line="276" w:lineRule="auto"/>
              <w:ind w:right="116"/>
              <w:jc w:val="both"/>
              <w:rPr>
                <w:bCs/>
                <w:color w:val="0070C0"/>
                <w:sz w:val="22"/>
                <w:szCs w:val="22"/>
                <w:lang w:val="sv-SE"/>
              </w:rPr>
            </w:pPr>
            <w:r w:rsidRPr="002B7979">
              <w:rPr>
                <w:bCs/>
                <w:color w:val="0070C0"/>
                <w:sz w:val="22"/>
                <w:szCs w:val="22"/>
                <w:lang w:val="sv-SE"/>
              </w:rPr>
              <w:t>This BOM paper for the Publication of Malaysia BI Guideline to be renewed</w:t>
            </w:r>
            <w:r w:rsidR="002B7979" w:rsidRPr="002B7979">
              <w:rPr>
                <w:bCs/>
                <w:color w:val="0070C0"/>
                <w:sz w:val="22"/>
                <w:szCs w:val="22"/>
                <w:lang w:val="sv-SE"/>
              </w:rPr>
              <w:t xml:space="preserve"> till December 2022</w:t>
            </w:r>
          </w:p>
          <w:p w14:paraId="4529FCEA" w14:textId="77777777" w:rsidR="00E74405" w:rsidRDefault="00E74405" w:rsidP="0023296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4998ADC2" w14:textId="5703BB01" w:rsidR="00232962" w:rsidRPr="00232962" w:rsidRDefault="00232962" w:rsidP="0023296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The objectives of the Malaysia BI Guideline are:</w:t>
            </w:r>
          </w:p>
          <w:p w14:paraId="014EBDC1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guide in applying behavioural insights to public policy from the beginning to the end of the policy cycle;</w:t>
            </w:r>
          </w:p>
          <w:p w14:paraId="44D23329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repository of best practices, proof of concepts and methodological standards for behavioural insights practitioners and policymakers; and</w:t>
            </w:r>
          </w:p>
          <w:p w14:paraId="31DE0119" w14:textId="4F017F84" w:rsidR="00BA7368" w:rsidRPr="00DF3A1E" w:rsidRDefault="00232962" w:rsidP="0023296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ms-MY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provide general principles for the ethical application of BI and guidelines where ethical concerns might be raised for specific issues.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19B" w14:textId="77777777" w:rsidR="002C0288" w:rsidRDefault="002C0288" w:rsidP="002C0288">
            <w:pPr>
              <w:pStyle w:val="ListParagraph"/>
              <w:widowControl w:val="0"/>
              <w:autoSpaceDE w:val="0"/>
              <w:autoSpaceDN w:val="0"/>
              <w:ind w:left="0" w:right="5"/>
              <w:contextualSpacing w:val="0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  <w:p w14:paraId="20B7B145" w14:textId="0100AFCC" w:rsidR="00B6226E" w:rsidRPr="00FD638E" w:rsidRDefault="00232962" w:rsidP="00FD638E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MPC has been mandated by the government to undertake BI programs and initiatives for Malaysia year 2020 onwards. Publishing a BI Guideline that best suits the nation’s culture that includes individual, environment, and social factors especially in every stage of the policy cycle is essential </w:t>
            </w:r>
            <w:proofErr w:type="gramStart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 order to</w:t>
            </w:r>
            <w:proofErr w:type="gramEnd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provide better quality and more effective regulations</w:t>
            </w:r>
          </w:p>
          <w:p w14:paraId="29B5CEA5" w14:textId="330C7086" w:rsidR="001427C7" w:rsidRPr="00232962" w:rsidRDefault="001427C7" w:rsidP="00232962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B7E" w14:textId="5044C2CB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assess Malaysia’s current design and implementation of public policy;</w:t>
            </w:r>
          </w:p>
          <w:p w14:paraId="54E53ED8" w14:textId="5B12CF64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conduct research of existing behavioural theories, methodologies, public policy issues and challenges; and</w:t>
            </w:r>
          </w:p>
          <w:p w14:paraId="278AC313" w14:textId="4184BCFA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establish a BI Guideline that includes designing solutions to ensure that policies reflect real needs and behaviours for greater impact and effectiveness.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968CA21" w:rsidR="00644069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61ABCBF6" w14:textId="4B610E39" w:rsidR="00644069" w:rsidRDefault="00644069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 w:rsidR="00232962">
              <w:rPr>
                <w:sz w:val="22"/>
                <w:szCs w:val="22"/>
                <w:lang w:val="ms-MY"/>
              </w:rPr>
              <w:t>cies</w:t>
            </w:r>
          </w:p>
          <w:p w14:paraId="6E28E946" w14:textId="0AA6923B" w:rsidR="00232962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49402B8D" w14:textId="77777777" w:rsidR="001635BA" w:rsidRDefault="00232962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  <w:p w14:paraId="309AD34C" w14:textId="30C582AC" w:rsidR="00FD638E" w:rsidRPr="00A261A1" w:rsidRDefault="00ED16B5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Business Community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F3C" w14:textId="77777777" w:rsidR="001F27B3" w:rsidRDefault="00CC3990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54969">
              <w:rPr>
                <w:sz w:val="22"/>
                <w:szCs w:val="22"/>
                <w:lang w:val="ms-MY"/>
              </w:rPr>
              <w:t>Integrated BI Guideline to be used at national level.</w:t>
            </w:r>
          </w:p>
          <w:p w14:paraId="3D4D92E6" w14:textId="367606B0" w:rsidR="00A261A1" w:rsidRPr="001F27B3" w:rsidRDefault="001F27B3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Well-informed regulators on matters relating to BI on designing public policy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2D29" w14:textId="77777777" w:rsidR="001F27B3" w:rsidRDefault="00EA3CB1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1 BI Guideline for Ministries</w:t>
            </w:r>
          </w:p>
          <w:p w14:paraId="0AE77246" w14:textId="53D1E9E1" w:rsidR="00F024C9" w:rsidRPr="001F27B3" w:rsidRDefault="00B325B0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4</w:t>
            </w:r>
            <w:r w:rsidR="00EA3CB1" w:rsidRPr="001F27B3">
              <w:rPr>
                <w:sz w:val="22"/>
                <w:szCs w:val="22"/>
                <w:lang w:val="ms-MY"/>
              </w:rPr>
              <w:t xml:space="preserve"> BI Guidelines Project for selected Ministries and agencies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35B1FDC5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>
              <w:rPr>
                <w:sz w:val="22"/>
                <w:szCs w:val="22"/>
                <w:lang w:val="ms-MY"/>
              </w:rPr>
              <w:t>cies</w:t>
            </w:r>
          </w:p>
          <w:p w14:paraId="086137ED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30F8FE56" w14:textId="0A04A92E" w:rsidR="001635BA" w:rsidRP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677E5FD7" w:rsidR="004A3E34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RM</w:t>
            </w:r>
            <w:r w:rsidR="00203B7A">
              <w:rPr>
                <w:sz w:val="22"/>
                <w:szCs w:val="22"/>
                <w:lang w:val="ms-MY"/>
              </w:rPr>
              <w:t>27</w:t>
            </w:r>
            <w:r w:rsidR="006B651B">
              <w:rPr>
                <w:sz w:val="22"/>
                <w:szCs w:val="22"/>
                <w:lang w:val="ms-MY"/>
              </w:rPr>
              <w:t>2</w:t>
            </w:r>
            <w:r w:rsidR="00336A6D">
              <w:rPr>
                <w:sz w:val="22"/>
                <w:szCs w:val="22"/>
                <w:lang w:val="ms-MY"/>
              </w:rPr>
              <w:t>,</w:t>
            </w:r>
            <w:r w:rsidR="00203B7A">
              <w:rPr>
                <w:sz w:val="22"/>
                <w:szCs w:val="22"/>
                <w:lang w:val="ms-MY"/>
              </w:rPr>
              <w:t>0</w:t>
            </w:r>
            <w:r w:rsidR="00156B1F">
              <w:rPr>
                <w:sz w:val="22"/>
                <w:szCs w:val="22"/>
                <w:lang w:val="ms-MY"/>
              </w:rPr>
              <w:t>00</w:t>
            </w:r>
            <w:r w:rsidR="00C53B0C">
              <w:rPr>
                <w:sz w:val="22"/>
                <w:szCs w:val="22"/>
                <w:lang w:val="ms-MY"/>
              </w:rPr>
              <w:t>.00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1F5E9578" w14:textId="77777777" w:rsidR="00F31BB2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</w:p>
          <w:p w14:paraId="742337CD" w14:textId="4AD8E096" w:rsidR="003423EC" w:rsidRPr="0066761C" w:rsidRDefault="001F27B3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(As in </w:t>
            </w:r>
            <w:r w:rsidR="003423EC">
              <w:rPr>
                <w:sz w:val="22"/>
                <w:szCs w:val="22"/>
                <w:lang w:val="ms-MY"/>
              </w:rPr>
              <w:t>Appendix</w:t>
            </w:r>
            <w:r>
              <w:rPr>
                <w:sz w:val="22"/>
                <w:szCs w:val="22"/>
                <w:lang w:val="ms-MY"/>
              </w:rPr>
              <w:t>)</w:t>
            </w:r>
            <w:r w:rsidR="003423E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126E712" w:rsidR="001635BA" w:rsidRPr="00830EA7" w:rsidRDefault="00D33BB0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D33BB0">
              <w:rPr>
                <w:sz w:val="22"/>
                <w:szCs w:val="22"/>
                <w:lang w:val="ms-MY"/>
              </w:rPr>
              <w:t>Apply for BOM approval for the development of the Behavioral Insights Guidelines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74F271F4" w14:textId="7E3B1613" w:rsidR="00584848" w:rsidRPr="005E2649" w:rsidRDefault="003423EC" w:rsidP="008C7CBE">
      <w:pPr>
        <w:spacing w:line="276" w:lineRule="auto"/>
        <w:rPr>
          <w:b/>
          <w:bCs/>
          <w:sz w:val="22"/>
          <w:szCs w:val="22"/>
        </w:rPr>
      </w:pPr>
      <w:r w:rsidRPr="005E2649">
        <w:rPr>
          <w:b/>
          <w:bCs/>
          <w:sz w:val="22"/>
          <w:szCs w:val="22"/>
        </w:rPr>
        <w:t xml:space="preserve">Project </w:t>
      </w:r>
      <w:r w:rsidR="00313B5F" w:rsidRPr="005E2649">
        <w:rPr>
          <w:b/>
          <w:bCs/>
          <w:sz w:val="22"/>
          <w:szCs w:val="22"/>
        </w:rPr>
        <w:t>Phase</w:t>
      </w:r>
    </w:p>
    <w:p w14:paraId="696A26F7" w14:textId="00410B3B" w:rsidR="003423EC" w:rsidRDefault="003423EC" w:rsidP="008C7CBE">
      <w:pPr>
        <w:spacing w:line="276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812"/>
      </w:tblGrid>
      <w:tr w:rsidR="003423EC" w:rsidRPr="00313B5F" w14:paraId="6123D734" w14:textId="77777777" w:rsidTr="006969F7">
        <w:trPr>
          <w:trHeight w:val="432"/>
        </w:trPr>
        <w:tc>
          <w:tcPr>
            <w:tcW w:w="1222" w:type="pct"/>
            <w:shd w:val="clear" w:color="auto" w:fill="ACB9CA" w:themeFill="text2" w:themeFillTint="66"/>
            <w:vAlign w:val="center"/>
            <w:hideMark/>
          </w:tcPr>
          <w:p w14:paraId="5493EF5D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PHASE</w:t>
            </w:r>
          </w:p>
        </w:tc>
        <w:tc>
          <w:tcPr>
            <w:tcW w:w="3778" w:type="pct"/>
            <w:shd w:val="clear" w:color="auto" w:fill="ACB9CA" w:themeFill="text2" w:themeFillTint="66"/>
            <w:vAlign w:val="center"/>
            <w:hideMark/>
          </w:tcPr>
          <w:p w14:paraId="4A52AF81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ACTIVITY</w:t>
            </w:r>
          </w:p>
        </w:tc>
      </w:tr>
      <w:tr w:rsidR="003423EC" w:rsidRPr="00313B5F" w14:paraId="3046518E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2B263DD3" w14:textId="2DB1A2F3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Development</w:t>
            </w:r>
            <w:r w:rsidR="00B325B0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&amp; Monitor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751E8E4F" w14:textId="3227F89A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Development of BI Guideline tailored specifically for the ministries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 and 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>monitor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>ing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of intervention projects. </w:t>
            </w:r>
          </w:p>
        </w:tc>
      </w:tr>
      <w:tr w:rsidR="003423EC" w:rsidRPr="00313B5F" w14:paraId="45FEB4BF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44805EE5" w14:textId="4A0245C2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Advocacy</w:t>
            </w:r>
          </w:p>
          <w:p w14:paraId="0BC54DE3" w14:textId="77777777" w:rsidR="003423EC" w:rsidRPr="00313B5F" w:rsidRDefault="003423EC" w:rsidP="00C94F71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2B49B703" w14:textId="77777777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Promotional activities such as media release, webinars, sharing sessions, videos, posters etc, including content development.</w:t>
            </w:r>
          </w:p>
        </w:tc>
      </w:tr>
      <w:tr w:rsidR="003423EC" w:rsidRPr="00313B5F" w14:paraId="760BC718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6EA258BB" w14:textId="6B3A3FAB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Advisory</w:t>
            </w:r>
          </w:p>
          <w:p w14:paraId="6532DF57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6BAEEB8A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Projects identified in Ministries</w:t>
            </w:r>
          </w:p>
          <w:p w14:paraId="308EEC4B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Training to ministries as a preparation before embarking on the projects</w:t>
            </w:r>
          </w:p>
        </w:tc>
      </w:tr>
      <w:tr w:rsidR="003423EC" w:rsidRPr="00313B5F" w14:paraId="77AFB666" w14:textId="77777777" w:rsidTr="00D0294F">
        <w:trPr>
          <w:trHeight w:val="558"/>
        </w:trPr>
        <w:tc>
          <w:tcPr>
            <w:tcW w:w="1222" w:type="pct"/>
            <w:shd w:val="clear" w:color="auto" w:fill="auto"/>
            <w:vAlign w:val="center"/>
            <w:hideMark/>
          </w:tcPr>
          <w:p w14:paraId="3F5C58CB" w14:textId="54F9B348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Coordination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54C72A54" w14:textId="52E5F106" w:rsidR="00AB003A" w:rsidRPr="00313B5F" w:rsidRDefault="003423EC" w:rsidP="00C94F71">
            <w:pPr>
              <w:pStyle w:val="Default"/>
              <w:rPr>
                <w:sz w:val="22"/>
                <w:szCs w:val="22"/>
              </w:rPr>
            </w:pPr>
            <w:r w:rsidRPr="00313B5F">
              <w:rPr>
                <w:sz w:val="22"/>
                <w:szCs w:val="22"/>
              </w:rPr>
              <w:t xml:space="preserve">Embark on projects with selected ministries. </w:t>
            </w:r>
          </w:p>
        </w:tc>
      </w:tr>
    </w:tbl>
    <w:p w14:paraId="39AFABBD" w14:textId="18D81966" w:rsidR="001B15AC" w:rsidRPr="005E2649" w:rsidRDefault="001B15AC" w:rsidP="008C7CBE">
      <w:pPr>
        <w:spacing w:line="276" w:lineRule="auto"/>
        <w:rPr>
          <w:b/>
          <w:bCs/>
        </w:rPr>
      </w:pPr>
      <w:r w:rsidRPr="005E2649">
        <w:rPr>
          <w:b/>
          <w:bCs/>
        </w:rPr>
        <w:lastRenderedPageBreak/>
        <w:t xml:space="preserve">Estimated Cost </w:t>
      </w:r>
    </w:p>
    <w:p w14:paraId="3553137B" w14:textId="5A34413A" w:rsidR="001B15AC" w:rsidRDefault="001B15AC" w:rsidP="008C7CBE">
      <w:pPr>
        <w:spacing w:line="276" w:lineRule="auto"/>
      </w:pPr>
    </w:p>
    <w:tbl>
      <w:tblPr>
        <w:tblpPr w:leftFromText="180" w:rightFromText="180" w:vertAnchor="text" w:horzAnchor="margin" w:tblpXSpec="right" w:tblpY="102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827"/>
        <w:gridCol w:w="1423"/>
        <w:gridCol w:w="1346"/>
      </w:tblGrid>
      <w:tr w:rsidR="001B15AC" w:rsidRPr="000055F3" w14:paraId="44A27D0E" w14:textId="77777777" w:rsidTr="006E745E">
        <w:trPr>
          <w:trHeight w:val="576"/>
          <w:tblHeader/>
        </w:trPr>
        <w:tc>
          <w:tcPr>
            <w:tcW w:w="704" w:type="dxa"/>
            <w:shd w:val="clear" w:color="auto" w:fill="ACB9CA" w:themeFill="text2" w:themeFillTint="66"/>
            <w:noWrap/>
            <w:hideMark/>
          </w:tcPr>
          <w:p w14:paraId="08FB9B4C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37817645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3827" w:type="dxa"/>
            <w:shd w:val="clear" w:color="auto" w:fill="ACB9CA" w:themeFill="text2" w:themeFillTint="66"/>
            <w:noWrap/>
            <w:hideMark/>
          </w:tcPr>
          <w:p w14:paraId="7CA30FBA" w14:textId="135ED5F7" w:rsidR="001B15AC" w:rsidRPr="000055F3" w:rsidRDefault="001B15AC" w:rsidP="006B4402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ITEM</w:t>
            </w:r>
          </w:p>
        </w:tc>
        <w:tc>
          <w:tcPr>
            <w:tcW w:w="1423" w:type="dxa"/>
            <w:shd w:val="clear" w:color="auto" w:fill="ACB9CA" w:themeFill="text2" w:themeFillTint="66"/>
            <w:noWrap/>
            <w:hideMark/>
          </w:tcPr>
          <w:p w14:paraId="169F4A89" w14:textId="71C3BF4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ESTIMATED</w:t>
            </w:r>
          </w:p>
          <w:p w14:paraId="77FB15E6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COST (RM)</w:t>
            </w:r>
          </w:p>
        </w:tc>
        <w:tc>
          <w:tcPr>
            <w:tcW w:w="1346" w:type="dxa"/>
            <w:shd w:val="clear" w:color="auto" w:fill="ACB9CA" w:themeFill="text2" w:themeFillTint="66"/>
            <w:noWrap/>
            <w:hideMark/>
          </w:tcPr>
          <w:p w14:paraId="7684183B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 (RM)</w:t>
            </w:r>
          </w:p>
        </w:tc>
      </w:tr>
      <w:tr w:rsidR="00B619BF" w:rsidRPr="000055F3" w14:paraId="1F34B100" w14:textId="77777777" w:rsidTr="00C32051">
        <w:trPr>
          <w:trHeight w:val="823"/>
        </w:trPr>
        <w:tc>
          <w:tcPr>
            <w:tcW w:w="704" w:type="dxa"/>
            <w:vMerge w:val="restart"/>
            <w:shd w:val="clear" w:color="auto" w:fill="auto"/>
            <w:noWrap/>
          </w:tcPr>
          <w:p w14:paraId="28A45209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1.</w:t>
            </w:r>
          </w:p>
        </w:tc>
        <w:tc>
          <w:tcPr>
            <w:tcW w:w="1701" w:type="dxa"/>
            <w:vMerge w:val="restart"/>
          </w:tcPr>
          <w:p w14:paraId="42EBF5D7" w14:textId="147184AA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Development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&amp; Monitor</w:t>
            </w:r>
          </w:p>
        </w:tc>
        <w:tc>
          <w:tcPr>
            <w:tcW w:w="3827" w:type="dxa"/>
            <w:shd w:val="clear" w:color="auto" w:fill="auto"/>
            <w:noWrap/>
          </w:tcPr>
          <w:p w14:paraId="30B0A97B" w14:textId="2635B2BE" w:rsidR="00B619BF" w:rsidRPr="000055F3" w:rsidRDefault="00B619BF" w:rsidP="006B4402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Hiring of subject matter experts (SME) to develop Guideline</w:t>
            </w:r>
            <w:r w:rsidR="00D92385">
              <w:rPr>
                <w:sz w:val="20"/>
                <w:szCs w:val="20"/>
              </w:rPr>
              <w:t xml:space="preserve"> (RM400</w:t>
            </w:r>
            <w:r w:rsidR="00123121">
              <w:rPr>
                <w:sz w:val="20"/>
                <w:szCs w:val="20"/>
              </w:rPr>
              <w:t xml:space="preserve"> x 10 sessions)</w:t>
            </w:r>
          </w:p>
        </w:tc>
        <w:tc>
          <w:tcPr>
            <w:tcW w:w="1423" w:type="dxa"/>
            <w:shd w:val="clear" w:color="auto" w:fill="auto"/>
            <w:noWrap/>
          </w:tcPr>
          <w:p w14:paraId="04629BC5" w14:textId="2688F73A" w:rsidR="00B619BF" w:rsidRPr="000055F3" w:rsidRDefault="000308EC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60,0000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55FE7E00" w14:textId="669578A0" w:rsidR="001F1660" w:rsidRPr="000055F3" w:rsidRDefault="009D73E4" w:rsidP="00C32051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88,000.00</w:t>
            </w:r>
          </w:p>
        </w:tc>
      </w:tr>
      <w:tr w:rsidR="00B619BF" w:rsidRPr="000055F3" w14:paraId="112153B7" w14:textId="77777777" w:rsidTr="00C32051">
        <w:trPr>
          <w:trHeight w:val="848"/>
        </w:trPr>
        <w:tc>
          <w:tcPr>
            <w:tcW w:w="704" w:type="dxa"/>
            <w:vMerge/>
            <w:shd w:val="clear" w:color="auto" w:fill="auto"/>
            <w:noWrap/>
          </w:tcPr>
          <w:p w14:paraId="71996D06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5F865C2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5649094" w14:textId="4F41CF26" w:rsidR="00B619BF" w:rsidRPr="000055F3" w:rsidRDefault="00B619BF" w:rsidP="006B4402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 xml:space="preserve">Hiring of subject matter experts (SME) to </w:t>
            </w:r>
            <w:r>
              <w:rPr>
                <w:sz w:val="20"/>
                <w:szCs w:val="20"/>
              </w:rPr>
              <w:t xml:space="preserve">monitor and test BI </w:t>
            </w:r>
            <w:r w:rsidRPr="000055F3">
              <w:rPr>
                <w:sz w:val="20"/>
                <w:szCs w:val="20"/>
              </w:rPr>
              <w:t>Guideline</w:t>
            </w:r>
          </w:p>
        </w:tc>
        <w:tc>
          <w:tcPr>
            <w:tcW w:w="1423" w:type="dxa"/>
            <w:shd w:val="clear" w:color="auto" w:fill="auto"/>
            <w:noWrap/>
          </w:tcPr>
          <w:p w14:paraId="3E0B5415" w14:textId="01EE5C15" w:rsidR="00B619BF" w:rsidRDefault="00CC3732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28,000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53A58D0F" w14:textId="77777777" w:rsidR="00B619BF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456C3DEE" w14:textId="77777777" w:rsidTr="006B4402">
        <w:trPr>
          <w:trHeight w:val="728"/>
        </w:trPr>
        <w:tc>
          <w:tcPr>
            <w:tcW w:w="704" w:type="dxa"/>
            <w:vMerge w:val="restart"/>
            <w:shd w:val="clear" w:color="auto" w:fill="auto"/>
            <w:noWrap/>
          </w:tcPr>
          <w:p w14:paraId="43770F29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98D80A5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2.</w:t>
            </w:r>
          </w:p>
        </w:tc>
        <w:tc>
          <w:tcPr>
            <w:tcW w:w="1701" w:type="dxa"/>
            <w:vMerge w:val="restart"/>
          </w:tcPr>
          <w:p w14:paraId="548D113B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2DAF5BA" w14:textId="4DEF4ADD" w:rsidR="00BE5FFB" w:rsidRPr="000055F3" w:rsidRDefault="00061B44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Advocacy</w:t>
            </w:r>
          </w:p>
          <w:p w14:paraId="6511AC9F" w14:textId="77777777" w:rsidR="00BE5FFB" w:rsidRPr="000055F3" w:rsidRDefault="00BE5FFB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61A526F" w14:textId="6192E734" w:rsidR="00BE5FFB" w:rsidRPr="000055F3" w:rsidRDefault="00061B44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Media Statement</w:t>
            </w:r>
          </w:p>
          <w:p w14:paraId="5AD9426A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D5D165" w14:textId="2FCA5071" w:rsidR="00BE5FFB" w:rsidRPr="000055F3" w:rsidRDefault="00061B44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Media Statements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34CEF751" w14:textId="77777777" w:rsidR="00BE5FFB" w:rsidRDefault="00BE5FFB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35C76C8A" w14:textId="7F381193" w:rsidR="00BE5FFB" w:rsidRPr="000055F3" w:rsidRDefault="00961940" w:rsidP="006B4402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7CC5A588" w14:textId="05950081" w:rsidR="00BE5FFB" w:rsidRPr="000055F3" w:rsidRDefault="00961940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68</w:t>
            </w:r>
            <w:r w:rsidR="00143F8A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BE5FFB" w:rsidRPr="000055F3" w14:paraId="474E333F" w14:textId="77777777" w:rsidTr="006B4402">
        <w:trPr>
          <w:trHeight w:val="2964"/>
        </w:trPr>
        <w:tc>
          <w:tcPr>
            <w:tcW w:w="704" w:type="dxa"/>
            <w:vMerge/>
            <w:shd w:val="clear" w:color="auto" w:fill="auto"/>
            <w:noWrap/>
          </w:tcPr>
          <w:p w14:paraId="6490A01C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1B5B4B69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868AA94" w14:textId="72E17CC6" w:rsidR="00BE5FFB" w:rsidRPr="000055F3" w:rsidRDefault="00061B44" w:rsidP="006B4402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Sharing Session</w:t>
            </w:r>
          </w:p>
          <w:p w14:paraId="69B7B49E" w14:textId="7DED4AE4" w:rsidR="00BE5FFB" w:rsidRPr="000055F3" w:rsidRDefault="00061B44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Fee For Speaker</w:t>
            </w:r>
          </w:p>
          <w:p w14:paraId="4798F1C2" w14:textId="6828AE71" w:rsidR="00BE5FFB" w:rsidRPr="000055F3" w:rsidRDefault="00061B44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Rm300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Rm2400</w:t>
            </w:r>
          </w:p>
          <w:p w14:paraId="2374BD8E" w14:textId="04845214" w:rsidR="00BE5FFB" w:rsidRPr="000055F3" w:rsidRDefault="00061B44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Moderator</w:t>
            </w:r>
          </w:p>
          <w:p w14:paraId="5098B9DD" w14:textId="766C0088" w:rsidR="00BE5FFB" w:rsidRPr="000055F3" w:rsidRDefault="00061B44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  <w:p w14:paraId="60C78B9E" w14:textId="1F62A76C" w:rsidR="00BE5FFB" w:rsidRPr="000055F3" w:rsidRDefault="00061B44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Coordinator</w:t>
            </w:r>
          </w:p>
          <w:p w14:paraId="62441AEA" w14:textId="4F1C01AE" w:rsidR="00BE5FFB" w:rsidRPr="000055F3" w:rsidRDefault="00061B44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7245A597" w14:textId="46DB94C0" w:rsidR="00BE5FFB" w:rsidRPr="000055F3" w:rsidRDefault="00061B44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Rapporteur</w:t>
            </w:r>
          </w:p>
          <w:p w14:paraId="74EE7AC1" w14:textId="368A9C0B" w:rsidR="00BE5FFB" w:rsidRPr="000055F3" w:rsidRDefault="00061B44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Pages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13A0A9BC" w14:textId="2270E0BC" w:rsidR="00BE5FFB" w:rsidRPr="000055F3" w:rsidRDefault="00061B44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Facilitator</w:t>
            </w:r>
          </w:p>
          <w:p w14:paraId="159C3EC8" w14:textId="6D83B561" w:rsidR="00BE5FFB" w:rsidRPr="000055F3" w:rsidRDefault="00061B44" w:rsidP="006B4402">
            <w:pPr>
              <w:pStyle w:val="ListParagraph"/>
              <w:spacing w:before="240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</w:tc>
        <w:tc>
          <w:tcPr>
            <w:tcW w:w="1423" w:type="dxa"/>
            <w:shd w:val="clear" w:color="auto" w:fill="auto"/>
            <w:noWrap/>
          </w:tcPr>
          <w:p w14:paraId="590083E2" w14:textId="77777777" w:rsidR="00BE5FFB" w:rsidRDefault="00BE5FFB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6213BF3" w14:textId="2B182998" w:rsidR="00BE5FFB" w:rsidRPr="000055F3" w:rsidRDefault="00BE5FFB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405A314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1DA3955E" w14:textId="77777777" w:rsidTr="00BA536A">
        <w:trPr>
          <w:trHeight w:val="1277"/>
        </w:trPr>
        <w:tc>
          <w:tcPr>
            <w:tcW w:w="704" w:type="dxa"/>
            <w:vMerge/>
            <w:shd w:val="clear" w:color="auto" w:fill="auto"/>
            <w:noWrap/>
          </w:tcPr>
          <w:p w14:paraId="1E10D0D4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6281FCC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C589339" w14:textId="4BD84151" w:rsidR="00BE5FFB" w:rsidRPr="000055F3" w:rsidRDefault="00061B44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Video And Promotional Items</w:t>
            </w:r>
          </w:p>
          <w:p w14:paraId="25274520" w14:textId="7AA49A8F" w:rsidR="00BE5FFB" w:rsidRPr="00BA536A" w:rsidRDefault="00061B44" w:rsidP="00BA536A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Pr="00BA536A">
              <w:rPr>
                <w:color w:val="000000"/>
                <w:sz w:val="20"/>
                <w:szCs w:val="20"/>
                <w:lang w:val="en-MY" w:eastAsia="en-MY"/>
              </w:rPr>
              <w:t>Interactive Video, Corporate, Public Service Announcement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  <w:p w14:paraId="5BEDC0EA" w14:textId="77777777" w:rsidR="0057654C" w:rsidRDefault="0057654C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E8A816E" w14:textId="54DB7755" w:rsidR="00BE5FFB" w:rsidRPr="002C3B3E" w:rsidRDefault="00061B44" w:rsidP="002C3B3E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Pr="002C3B3E">
              <w:rPr>
                <w:color w:val="000000"/>
                <w:sz w:val="20"/>
                <w:szCs w:val="20"/>
                <w:lang w:val="en-MY" w:eastAsia="en-MY"/>
              </w:rPr>
              <w:t xml:space="preserve">Rm6,000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2)</w:t>
            </w:r>
          </w:p>
        </w:tc>
        <w:tc>
          <w:tcPr>
            <w:tcW w:w="1423" w:type="dxa"/>
            <w:shd w:val="clear" w:color="auto" w:fill="auto"/>
            <w:noWrap/>
          </w:tcPr>
          <w:p w14:paraId="129416A1" w14:textId="77777777" w:rsidR="00BE5FFB" w:rsidRDefault="00BE5FFB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634E4C5" w14:textId="3AE84988" w:rsidR="00BE5FFB" w:rsidRPr="000055F3" w:rsidRDefault="002B2486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12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3941F1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6F0AC1AE" w14:textId="77777777" w:rsidTr="006E745E">
        <w:trPr>
          <w:trHeight w:val="835"/>
        </w:trPr>
        <w:tc>
          <w:tcPr>
            <w:tcW w:w="704" w:type="dxa"/>
            <w:vMerge/>
            <w:shd w:val="clear" w:color="auto" w:fill="auto"/>
            <w:noWrap/>
          </w:tcPr>
          <w:p w14:paraId="2EEE6FB7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C40974D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4F913F4" w14:textId="5A8F0750" w:rsidR="00BE5FFB" w:rsidRPr="000055F3" w:rsidRDefault="00061B44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sz w:val="20"/>
                <w:szCs w:val="20"/>
              </w:rPr>
              <w:t>Online Platform</w:t>
            </w:r>
            <w:r>
              <w:rPr>
                <w:sz w:val="20"/>
                <w:szCs w:val="20"/>
              </w:rPr>
              <w:t>, Digital Content, Digital Publication,</w:t>
            </w:r>
            <w:r w:rsidRPr="000055F3">
              <w:rPr>
                <w:sz w:val="20"/>
                <w:szCs w:val="20"/>
              </w:rPr>
              <w:t xml:space="preserve"> And Tools (Murals, Posters,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Ebook</w:t>
            </w:r>
            <w:proofErr w:type="spellEnd"/>
            <w:r>
              <w:rPr>
                <w:sz w:val="20"/>
                <w:szCs w:val="20"/>
              </w:rPr>
              <w:t xml:space="preserve">, Database, </w:t>
            </w:r>
            <w:proofErr w:type="spellStart"/>
            <w:r w:rsidRPr="000055F3">
              <w:rPr>
                <w:sz w:val="20"/>
                <w:szCs w:val="20"/>
              </w:rPr>
              <w:t>Etc</w:t>
            </w:r>
            <w:proofErr w:type="spellEnd"/>
            <w:r w:rsidRPr="000055F3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027F4D36" w14:textId="74A97DAD" w:rsidR="00BE5FFB" w:rsidRDefault="00F64632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31</w:t>
            </w:r>
            <w:r w:rsidR="003E492F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 w:rsidR="00A004DA"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3E492F">
              <w:rPr>
                <w:color w:val="000000"/>
                <w:sz w:val="20"/>
                <w:szCs w:val="20"/>
                <w:lang w:val="en-MY" w:eastAsia="en-MY"/>
              </w:rPr>
              <w:t>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8C1D4BA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069B22B1" w14:textId="77777777" w:rsidTr="006E745E">
        <w:trPr>
          <w:trHeight w:val="1440"/>
        </w:trPr>
        <w:tc>
          <w:tcPr>
            <w:tcW w:w="704" w:type="dxa"/>
            <w:shd w:val="clear" w:color="auto" w:fill="auto"/>
            <w:noWrap/>
          </w:tcPr>
          <w:p w14:paraId="27A5F052" w14:textId="77777777" w:rsidR="001B15AC" w:rsidRPr="000055F3" w:rsidRDefault="001B15AC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3.</w:t>
            </w:r>
          </w:p>
        </w:tc>
        <w:tc>
          <w:tcPr>
            <w:tcW w:w="1701" w:type="dxa"/>
          </w:tcPr>
          <w:p w14:paraId="240143F8" w14:textId="4E7483EC" w:rsidR="001B15AC" w:rsidRPr="000055F3" w:rsidRDefault="002647E9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Advisory</w:t>
            </w:r>
          </w:p>
        </w:tc>
        <w:tc>
          <w:tcPr>
            <w:tcW w:w="3827" w:type="dxa"/>
            <w:shd w:val="clear" w:color="auto" w:fill="auto"/>
            <w:noWrap/>
          </w:tcPr>
          <w:p w14:paraId="5F995430" w14:textId="0B66C433" w:rsidR="001B15AC" w:rsidRPr="000055F3" w:rsidRDefault="002647E9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Hiring Of </w:t>
            </w:r>
            <w:proofErr w:type="spellStart"/>
            <w:r w:rsidRPr="000055F3">
              <w:rPr>
                <w:color w:val="000000"/>
                <w:sz w:val="20"/>
                <w:szCs w:val="20"/>
                <w:lang w:val="en-MY" w:eastAsia="en-MY"/>
              </w:rPr>
              <w:t>Smes</w:t>
            </w:r>
            <w:proofErr w:type="spellEnd"/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/ Trainer / Facilitators </w:t>
            </w:r>
            <w:proofErr w:type="gramStart"/>
            <w:r w:rsidRPr="000055F3">
              <w:rPr>
                <w:color w:val="000000"/>
                <w:sz w:val="20"/>
                <w:szCs w:val="20"/>
                <w:lang w:val="en-MY" w:eastAsia="en-MY"/>
              </w:rPr>
              <w:t>To</w:t>
            </w:r>
            <w:proofErr w:type="gramEnd"/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Share Knowledge And Experience Through Training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And Reporting On National Bi Guideline.</w:t>
            </w:r>
          </w:p>
          <w:p w14:paraId="040FEEC0" w14:textId="77777777" w:rsidR="00FB26E8" w:rsidRDefault="00FB26E8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D18DCEB" w14:textId="72562CDE" w:rsidR="001046A8" w:rsidRDefault="002647E9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Conduct Of Intervention Projects/Pilot Studies </w:t>
            </w:r>
            <w:proofErr w:type="gramStart"/>
            <w:r>
              <w:rPr>
                <w:color w:val="000000"/>
                <w:sz w:val="20"/>
                <w:szCs w:val="20"/>
                <w:lang w:val="en-MY" w:eastAsia="en-MY"/>
              </w:rPr>
              <w:t>With</w:t>
            </w:r>
            <w:proofErr w:type="gram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Selected Ministries/Agencies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Pbt’s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Or Business Association.</w:t>
            </w:r>
          </w:p>
          <w:p w14:paraId="750BB7A4" w14:textId="77777777" w:rsidR="00C32051" w:rsidRDefault="00C32051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EF2B5D" w14:textId="2737D0A1" w:rsidR="001B15AC" w:rsidRPr="000055F3" w:rsidRDefault="002647E9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Advisory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015F8806" w14:textId="4A69C3A1" w:rsidR="001B15AC" w:rsidRPr="000055F3" w:rsidRDefault="003E492F" w:rsidP="00FB26E8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  <w:tc>
          <w:tcPr>
            <w:tcW w:w="1346" w:type="dxa"/>
            <w:shd w:val="clear" w:color="auto" w:fill="auto"/>
            <w:noWrap/>
          </w:tcPr>
          <w:p w14:paraId="48F1FD9C" w14:textId="734F1910" w:rsidR="001B15AC" w:rsidRPr="000055F3" w:rsidRDefault="003E492F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C2291C">
              <w:rPr>
                <w:color w:val="000000"/>
                <w:sz w:val="20"/>
                <w:szCs w:val="20"/>
                <w:lang w:val="en-MY" w:eastAsia="en-MY"/>
              </w:rPr>
              <w:t>0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97799D" w:rsidRPr="000055F3" w14:paraId="133821DF" w14:textId="77777777" w:rsidTr="0052634C">
        <w:trPr>
          <w:trHeight w:val="536"/>
        </w:trPr>
        <w:tc>
          <w:tcPr>
            <w:tcW w:w="704" w:type="dxa"/>
            <w:vMerge w:val="restart"/>
            <w:shd w:val="clear" w:color="auto" w:fill="auto"/>
            <w:noWrap/>
          </w:tcPr>
          <w:p w14:paraId="11536DE7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C229BF8" w14:textId="48ABE599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4.</w:t>
            </w:r>
          </w:p>
        </w:tc>
        <w:tc>
          <w:tcPr>
            <w:tcW w:w="1701" w:type="dxa"/>
            <w:vMerge w:val="restart"/>
          </w:tcPr>
          <w:p w14:paraId="0593FEA5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199CAE2D" w14:textId="5436DBB0" w:rsidR="0097799D" w:rsidRPr="000055F3" w:rsidRDefault="002647E9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Coordination</w:t>
            </w:r>
          </w:p>
          <w:p w14:paraId="36C6636B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E086138" w14:textId="51532CED" w:rsidR="002C3B3E" w:rsidRDefault="002647E9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Residential Workshop</w:t>
            </w:r>
          </w:p>
          <w:p w14:paraId="5613631C" w14:textId="77777777" w:rsidR="007F3E2D" w:rsidRDefault="007F3E2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73E0D00B" w14:textId="60BC28FF" w:rsidR="0097799D" w:rsidRPr="000055F3" w:rsidRDefault="002647E9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(Rm450 X 20pax X 4 Sessions)</w:t>
            </w:r>
          </w:p>
        </w:tc>
        <w:tc>
          <w:tcPr>
            <w:tcW w:w="1423" w:type="dxa"/>
            <w:shd w:val="clear" w:color="auto" w:fill="auto"/>
            <w:noWrap/>
          </w:tcPr>
          <w:p w14:paraId="129A1D7A" w14:textId="70FD6DCE" w:rsidR="0097799D" w:rsidRPr="000055F3" w:rsidRDefault="00EB6B1F" w:rsidP="0052634C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36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3D697EF4" w14:textId="444927EB" w:rsidR="0097799D" w:rsidRPr="000055F3" w:rsidRDefault="003E492F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56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97799D" w:rsidRPr="000055F3" w14:paraId="2ECA8720" w14:textId="77777777" w:rsidTr="006E745E">
        <w:trPr>
          <w:trHeight w:val="864"/>
        </w:trPr>
        <w:tc>
          <w:tcPr>
            <w:tcW w:w="704" w:type="dxa"/>
            <w:vMerge/>
            <w:shd w:val="clear" w:color="auto" w:fill="auto"/>
            <w:noWrap/>
          </w:tcPr>
          <w:p w14:paraId="61496525" w14:textId="2AD2AA99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8D5E0C5" w14:textId="77777777" w:rsidR="0097799D" w:rsidRPr="000055F3" w:rsidRDefault="0097799D" w:rsidP="005263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E03A16C" w14:textId="49576F13" w:rsidR="002C3B3E" w:rsidRDefault="002647E9" w:rsidP="0052634C">
            <w:pPr>
              <w:pStyle w:val="Default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Engagements With Ministries</w:t>
            </w:r>
          </w:p>
          <w:p w14:paraId="393408D3" w14:textId="77777777" w:rsidR="007F3E2D" w:rsidRDefault="007F3E2D" w:rsidP="0052634C">
            <w:pPr>
              <w:pStyle w:val="Default"/>
              <w:rPr>
                <w:sz w:val="20"/>
                <w:szCs w:val="20"/>
              </w:rPr>
            </w:pPr>
          </w:p>
          <w:p w14:paraId="017E1B46" w14:textId="09216067" w:rsidR="0097799D" w:rsidRPr="000055F3" w:rsidRDefault="002647E9" w:rsidP="005263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55F3"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5</w:t>
            </w:r>
            <w:r w:rsidRPr="000055F3">
              <w:rPr>
                <w:sz w:val="20"/>
                <w:szCs w:val="20"/>
              </w:rPr>
              <w:t xml:space="preserve">,000 X </w:t>
            </w:r>
            <w:r>
              <w:rPr>
                <w:sz w:val="20"/>
                <w:szCs w:val="20"/>
              </w:rPr>
              <w:t>4</w:t>
            </w:r>
            <w:r w:rsidRPr="000055F3">
              <w:rPr>
                <w:sz w:val="20"/>
                <w:szCs w:val="20"/>
              </w:rPr>
              <w:t xml:space="preserve"> Sessions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4EEA963D" w14:textId="03EC3A96" w:rsidR="0097799D" w:rsidRPr="000055F3" w:rsidRDefault="00DF377B" w:rsidP="0052634C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0</w:t>
            </w:r>
            <w:r w:rsidR="0097799D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D9DB9A" w14:textId="6F217CFB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2F2E7793" w14:textId="77777777" w:rsidTr="006E745E">
        <w:trPr>
          <w:trHeight w:val="432"/>
        </w:trPr>
        <w:tc>
          <w:tcPr>
            <w:tcW w:w="7655" w:type="dxa"/>
            <w:gridSpan w:val="4"/>
            <w:shd w:val="clear" w:color="auto" w:fill="A6A6A6" w:themeFill="background1" w:themeFillShade="A6"/>
            <w:noWrap/>
          </w:tcPr>
          <w:p w14:paraId="7AEF1D75" w14:textId="77777777" w:rsidR="001B15AC" w:rsidRPr="000055F3" w:rsidRDefault="001B15AC" w:rsidP="007F3E2D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</w:tcPr>
          <w:p w14:paraId="424A15AD" w14:textId="19C744D5" w:rsidR="001B15AC" w:rsidRPr="000055F3" w:rsidRDefault="00203B7A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27</w:t>
            </w:r>
            <w:r w:rsidR="00961940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</w:tbl>
    <w:p w14:paraId="779D79CF" w14:textId="77777777" w:rsidR="001B15AC" w:rsidRDefault="001B15AC" w:rsidP="008C7CBE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lastRenderedPageBreak/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51769FF1" w:rsidR="00CE0E44" w:rsidRPr="00CE0E44" w:rsidRDefault="00E74405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F02211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December </w:t>
            </w:r>
            <w:r w:rsidR="00CE0E44">
              <w:rPr>
                <w:rFonts w:eastAsia="MS Mincho"/>
              </w:rPr>
              <w:t>2022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F0A39EE" w14:textId="0771E557" w:rsidR="00CE0E44" w:rsidRPr="00CE0E44" w:rsidRDefault="00E74405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 December 2022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D80E135" w14:textId="03D062E0" w:rsidR="00BC75F1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WAN FAZLIN NADIA </w:t>
            </w:r>
          </w:p>
          <w:p w14:paraId="547C1208" w14:textId="77777777" w:rsidR="00CE0E44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WAN OSMAN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362348A7" w14:textId="359BB62F" w:rsidR="00CE0E44" w:rsidRPr="00CE0E44" w:rsidRDefault="00E74405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 December 2022</w:t>
            </w:r>
          </w:p>
        </w:tc>
      </w:tr>
      <w:bookmarkEnd w:id="1"/>
    </w:tbl>
    <w:p w14:paraId="7F57ED27" w14:textId="35F7F798" w:rsidR="001C68B0" w:rsidRDefault="001C68B0" w:rsidP="00CE0E44"/>
    <w:sectPr w:rsidR="001C68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0590" w14:textId="77777777" w:rsidR="00630805" w:rsidRDefault="00630805" w:rsidP="00965EDD">
      <w:r>
        <w:separator/>
      </w:r>
    </w:p>
  </w:endnote>
  <w:endnote w:type="continuationSeparator" w:id="0">
    <w:p w14:paraId="351D7F99" w14:textId="77777777" w:rsidR="00630805" w:rsidRDefault="0063080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664C" w14:textId="77777777" w:rsidR="00630805" w:rsidRDefault="00630805" w:rsidP="00965EDD">
      <w:r>
        <w:separator/>
      </w:r>
    </w:p>
  </w:footnote>
  <w:footnote w:type="continuationSeparator" w:id="0">
    <w:p w14:paraId="51D2E6E3" w14:textId="77777777" w:rsidR="00630805" w:rsidRDefault="0063080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9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28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2022">
    <w:abstractNumId w:val="2"/>
  </w:num>
  <w:num w:numId="2" w16cid:durableId="1652638261">
    <w:abstractNumId w:val="33"/>
  </w:num>
  <w:num w:numId="3" w16cid:durableId="1274628418">
    <w:abstractNumId w:val="24"/>
  </w:num>
  <w:num w:numId="4" w16cid:durableId="1428455320">
    <w:abstractNumId w:val="26"/>
  </w:num>
  <w:num w:numId="5" w16cid:durableId="1398943917">
    <w:abstractNumId w:val="21"/>
  </w:num>
  <w:num w:numId="6" w16cid:durableId="1892421971">
    <w:abstractNumId w:val="30"/>
  </w:num>
  <w:num w:numId="7" w16cid:durableId="478232781">
    <w:abstractNumId w:val="9"/>
  </w:num>
  <w:num w:numId="8" w16cid:durableId="194120355">
    <w:abstractNumId w:val="6"/>
  </w:num>
  <w:num w:numId="9" w16cid:durableId="1740709255">
    <w:abstractNumId w:val="27"/>
  </w:num>
  <w:num w:numId="10" w16cid:durableId="1150443337">
    <w:abstractNumId w:val="7"/>
  </w:num>
  <w:num w:numId="11" w16cid:durableId="754933416">
    <w:abstractNumId w:val="16"/>
  </w:num>
  <w:num w:numId="12" w16cid:durableId="1159812159">
    <w:abstractNumId w:val="28"/>
  </w:num>
  <w:num w:numId="13" w16cid:durableId="1046372513">
    <w:abstractNumId w:val="32"/>
  </w:num>
  <w:num w:numId="14" w16cid:durableId="1951474417">
    <w:abstractNumId w:val="1"/>
  </w:num>
  <w:num w:numId="15" w16cid:durableId="55401113">
    <w:abstractNumId w:val="25"/>
  </w:num>
  <w:num w:numId="16" w16cid:durableId="268395056">
    <w:abstractNumId w:val="18"/>
  </w:num>
  <w:num w:numId="17" w16cid:durableId="1888487148">
    <w:abstractNumId w:val="12"/>
  </w:num>
  <w:num w:numId="18" w16cid:durableId="1532843242">
    <w:abstractNumId w:val="14"/>
  </w:num>
  <w:num w:numId="19" w16cid:durableId="2124030608">
    <w:abstractNumId w:val="23"/>
  </w:num>
  <w:num w:numId="20" w16cid:durableId="871572439">
    <w:abstractNumId w:val="11"/>
  </w:num>
  <w:num w:numId="21" w16cid:durableId="1185628972">
    <w:abstractNumId w:val="19"/>
  </w:num>
  <w:num w:numId="22" w16cid:durableId="584653607">
    <w:abstractNumId w:val="17"/>
  </w:num>
  <w:num w:numId="23" w16cid:durableId="1995210265">
    <w:abstractNumId w:val="15"/>
  </w:num>
  <w:num w:numId="24" w16cid:durableId="1674843188">
    <w:abstractNumId w:val="8"/>
  </w:num>
  <w:num w:numId="25" w16cid:durableId="1926956760">
    <w:abstractNumId w:val="31"/>
  </w:num>
  <w:num w:numId="26" w16cid:durableId="665016906">
    <w:abstractNumId w:val="10"/>
  </w:num>
  <w:num w:numId="27" w16cid:durableId="309360727">
    <w:abstractNumId w:val="13"/>
  </w:num>
  <w:num w:numId="28" w16cid:durableId="840855071">
    <w:abstractNumId w:val="29"/>
  </w:num>
  <w:num w:numId="29" w16cid:durableId="1182476484">
    <w:abstractNumId w:val="0"/>
  </w:num>
  <w:num w:numId="30" w16cid:durableId="1546209623">
    <w:abstractNumId w:val="22"/>
  </w:num>
  <w:num w:numId="31" w16cid:durableId="1086414621">
    <w:abstractNumId w:val="20"/>
  </w:num>
  <w:num w:numId="32" w16cid:durableId="2021463788">
    <w:abstractNumId w:val="3"/>
  </w:num>
  <w:num w:numId="33" w16cid:durableId="562831338">
    <w:abstractNumId w:val="5"/>
  </w:num>
  <w:num w:numId="34" w16cid:durableId="198184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4DF1"/>
    <w:rsid w:val="000308EC"/>
    <w:rsid w:val="000465CD"/>
    <w:rsid w:val="00046FDF"/>
    <w:rsid w:val="000540B5"/>
    <w:rsid w:val="000540F4"/>
    <w:rsid w:val="000553F4"/>
    <w:rsid w:val="00060347"/>
    <w:rsid w:val="00061B44"/>
    <w:rsid w:val="0006282E"/>
    <w:rsid w:val="00076063"/>
    <w:rsid w:val="000A4496"/>
    <w:rsid w:val="000B6DD5"/>
    <w:rsid w:val="000C5830"/>
    <w:rsid w:val="000D0273"/>
    <w:rsid w:val="000D263B"/>
    <w:rsid w:val="001046A8"/>
    <w:rsid w:val="00104DDD"/>
    <w:rsid w:val="00123121"/>
    <w:rsid w:val="00141084"/>
    <w:rsid w:val="001427C7"/>
    <w:rsid w:val="00143F8A"/>
    <w:rsid w:val="00150002"/>
    <w:rsid w:val="00156B1F"/>
    <w:rsid w:val="00161BDF"/>
    <w:rsid w:val="001635BA"/>
    <w:rsid w:val="00165368"/>
    <w:rsid w:val="00175663"/>
    <w:rsid w:val="0019234F"/>
    <w:rsid w:val="001A3EC1"/>
    <w:rsid w:val="001B15AC"/>
    <w:rsid w:val="001B5699"/>
    <w:rsid w:val="001C68B0"/>
    <w:rsid w:val="001E3CEA"/>
    <w:rsid w:val="001E59E7"/>
    <w:rsid w:val="001E7BAE"/>
    <w:rsid w:val="001F1660"/>
    <w:rsid w:val="001F27B3"/>
    <w:rsid w:val="001F7FF8"/>
    <w:rsid w:val="00203B7A"/>
    <w:rsid w:val="00232962"/>
    <w:rsid w:val="00250A73"/>
    <w:rsid w:val="002647E9"/>
    <w:rsid w:val="00271F40"/>
    <w:rsid w:val="0027447C"/>
    <w:rsid w:val="002A41F6"/>
    <w:rsid w:val="002B2486"/>
    <w:rsid w:val="002B7979"/>
    <w:rsid w:val="002C0288"/>
    <w:rsid w:val="002C070B"/>
    <w:rsid w:val="002C3B3E"/>
    <w:rsid w:val="002D766E"/>
    <w:rsid w:val="002E1447"/>
    <w:rsid w:val="002F3AFE"/>
    <w:rsid w:val="002F5513"/>
    <w:rsid w:val="00301EA6"/>
    <w:rsid w:val="00313B5F"/>
    <w:rsid w:val="00336A6D"/>
    <w:rsid w:val="00342089"/>
    <w:rsid w:val="003423EC"/>
    <w:rsid w:val="003429CD"/>
    <w:rsid w:val="0036378C"/>
    <w:rsid w:val="003737DD"/>
    <w:rsid w:val="003809EC"/>
    <w:rsid w:val="00397A41"/>
    <w:rsid w:val="003E4026"/>
    <w:rsid w:val="003E492F"/>
    <w:rsid w:val="003E5526"/>
    <w:rsid w:val="003F60BC"/>
    <w:rsid w:val="0042080A"/>
    <w:rsid w:val="00423D97"/>
    <w:rsid w:val="00433410"/>
    <w:rsid w:val="0045153B"/>
    <w:rsid w:val="00474AEB"/>
    <w:rsid w:val="00496185"/>
    <w:rsid w:val="00496715"/>
    <w:rsid w:val="004A0BF8"/>
    <w:rsid w:val="004A106D"/>
    <w:rsid w:val="004A3E34"/>
    <w:rsid w:val="004A5E6C"/>
    <w:rsid w:val="004B497F"/>
    <w:rsid w:val="004D57F3"/>
    <w:rsid w:val="004E59C5"/>
    <w:rsid w:val="004F3B99"/>
    <w:rsid w:val="004F3B9A"/>
    <w:rsid w:val="00501DD9"/>
    <w:rsid w:val="00511257"/>
    <w:rsid w:val="0051282F"/>
    <w:rsid w:val="005246D2"/>
    <w:rsid w:val="0052634C"/>
    <w:rsid w:val="00542D8B"/>
    <w:rsid w:val="0054466C"/>
    <w:rsid w:val="00554E3B"/>
    <w:rsid w:val="0057513D"/>
    <w:rsid w:val="0057654C"/>
    <w:rsid w:val="0057666C"/>
    <w:rsid w:val="00584848"/>
    <w:rsid w:val="005A49C3"/>
    <w:rsid w:val="005B1A70"/>
    <w:rsid w:val="005B20C7"/>
    <w:rsid w:val="005B483F"/>
    <w:rsid w:val="005B5AC4"/>
    <w:rsid w:val="005C6F87"/>
    <w:rsid w:val="005D5DA6"/>
    <w:rsid w:val="005E2403"/>
    <w:rsid w:val="005E2649"/>
    <w:rsid w:val="00610518"/>
    <w:rsid w:val="00614C2C"/>
    <w:rsid w:val="00615E5D"/>
    <w:rsid w:val="00616578"/>
    <w:rsid w:val="00630805"/>
    <w:rsid w:val="00630CEA"/>
    <w:rsid w:val="006412B7"/>
    <w:rsid w:val="00644069"/>
    <w:rsid w:val="0065760C"/>
    <w:rsid w:val="0066761C"/>
    <w:rsid w:val="006809D7"/>
    <w:rsid w:val="006969F7"/>
    <w:rsid w:val="00697C0B"/>
    <w:rsid w:val="006A23D6"/>
    <w:rsid w:val="006B105A"/>
    <w:rsid w:val="006B4402"/>
    <w:rsid w:val="006B651B"/>
    <w:rsid w:val="006C5E8D"/>
    <w:rsid w:val="006D457B"/>
    <w:rsid w:val="006E2CE1"/>
    <w:rsid w:val="006E745E"/>
    <w:rsid w:val="006F1263"/>
    <w:rsid w:val="006F6DD6"/>
    <w:rsid w:val="006F7655"/>
    <w:rsid w:val="00711BF8"/>
    <w:rsid w:val="00754AE3"/>
    <w:rsid w:val="0075572A"/>
    <w:rsid w:val="00766C25"/>
    <w:rsid w:val="00773B4B"/>
    <w:rsid w:val="0078226F"/>
    <w:rsid w:val="007861B6"/>
    <w:rsid w:val="00792248"/>
    <w:rsid w:val="007928BE"/>
    <w:rsid w:val="0079576F"/>
    <w:rsid w:val="007A217F"/>
    <w:rsid w:val="007B1650"/>
    <w:rsid w:val="007C0358"/>
    <w:rsid w:val="007C29C5"/>
    <w:rsid w:val="007C5DF8"/>
    <w:rsid w:val="007D126F"/>
    <w:rsid w:val="007D6403"/>
    <w:rsid w:val="007D669F"/>
    <w:rsid w:val="007E2BAE"/>
    <w:rsid w:val="007F2466"/>
    <w:rsid w:val="007F3E2D"/>
    <w:rsid w:val="007F74B5"/>
    <w:rsid w:val="00830EA7"/>
    <w:rsid w:val="00841F1C"/>
    <w:rsid w:val="008432BD"/>
    <w:rsid w:val="0085037D"/>
    <w:rsid w:val="00856EB6"/>
    <w:rsid w:val="008702FD"/>
    <w:rsid w:val="008840DD"/>
    <w:rsid w:val="00887AC6"/>
    <w:rsid w:val="008C7CBE"/>
    <w:rsid w:val="008E0C07"/>
    <w:rsid w:val="00911A3C"/>
    <w:rsid w:val="009212CC"/>
    <w:rsid w:val="00934B8E"/>
    <w:rsid w:val="00937F1D"/>
    <w:rsid w:val="00951E04"/>
    <w:rsid w:val="00961940"/>
    <w:rsid w:val="00965EDD"/>
    <w:rsid w:val="009723AD"/>
    <w:rsid w:val="0097799D"/>
    <w:rsid w:val="00977CB6"/>
    <w:rsid w:val="0098659C"/>
    <w:rsid w:val="009A1A41"/>
    <w:rsid w:val="009A54DE"/>
    <w:rsid w:val="009B31FD"/>
    <w:rsid w:val="009B403F"/>
    <w:rsid w:val="009B65FE"/>
    <w:rsid w:val="009D73E4"/>
    <w:rsid w:val="009E3DFB"/>
    <w:rsid w:val="00A0039B"/>
    <w:rsid w:val="00A004DA"/>
    <w:rsid w:val="00A029FB"/>
    <w:rsid w:val="00A042BF"/>
    <w:rsid w:val="00A1158B"/>
    <w:rsid w:val="00A1724F"/>
    <w:rsid w:val="00A20D1E"/>
    <w:rsid w:val="00A24825"/>
    <w:rsid w:val="00A261A1"/>
    <w:rsid w:val="00A27FDF"/>
    <w:rsid w:val="00A43DE6"/>
    <w:rsid w:val="00A459D3"/>
    <w:rsid w:val="00A56F1C"/>
    <w:rsid w:val="00A572BC"/>
    <w:rsid w:val="00A57548"/>
    <w:rsid w:val="00A66926"/>
    <w:rsid w:val="00A80341"/>
    <w:rsid w:val="00A84887"/>
    <w:rsid w:val="00A85BB5"/>
    <w:rsid w:val="00A87342"/>
    <w:rsid w:val="00A92863"/>
    <w:rsid w:val="00AB003A"/>
    <w:rsid w:val="00AB4B29"/>
    <w:rsid w:val="00AC5D94"/>
    <w:rsid w:val="00AD297C"/>
    <w:rsid w:val="00AE1A44"/>
    <w:rsid w:val="00AF1516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A132F"/>
    <w:rsid w:val="00BA536A"/>
    <w:rsid w:val="00BA7368"/>
    <w:rsid w:val="00BC75F1"/>
    <w:rsid w:val="00BE5FFB"/>
    <w:rsid w:val="00BE7AF0"/>
    <w:rsid w:val="00C01CA8"/>
    <w:rsid w:val="00C111C6"/>
    <w:rsid w:val="00C15681"/>
    <w:rsid w:val="00C2291C"/>
    <w:rsid w:val="00C248F9"/>
    <w:rsid w:val="00C25A58"/>
    <w:rsid w:val="00C32051"/>
    <w:rsid w:val="00C4040B"/>
    <w:rsid w:val="00C46465"/>
    <w:rsid w:val="00C53B0C"/>
    <w:rsid w:val="00CB5FAA"/>
    <w:rsid w:val="00CB6F06"/>
    <w:rsid w:val="00CC12D5"/>
    <w:rsid w:val="00CC3732"/>
    <w:rsid w:val="00CC3990"/>
    <w:rsid w:val="00CD02C3"/>
    <w:rsid w:val="00CD4F75"/>
    <w:rsid w:val="00CD55B4"/>
    <w:rsid w:val="00CE060F"/>
    <w:rsid w:val="00CE0E44"/>
    <w:rsid w:val="00CF4A83"/>
    <w:rsid w:val="00D01154"/>
    <w:rsid w:val="00D0294F"/>
    <w:rsid w:val="00D07FC3"/>
    <w:rsid w:val="00D2714A"/>
    <w:rsid w:val="00D30BFD"/>
    <w:rsid w:val="00D33BB0"/>
    <w:rsid w:val="00D35236"/>
    <w:rsid w:val="00D434BF"/>
    <w:rsid w:val="00D61147"/>
    <w:rsid w:val="00D729EA"/>
    <w:rsid w:val="00D92385"/>
    <w:rsid w:val="00D92C0E"/>
    <w:rsid w:val="00D95AE1"/>
    <w:rsid w:val="00DA6499"/>
    <w:rsid w:val="00DB7CAE"/>
    <w:rsid w:val="00DC1B66"/>
    <w:rsid w:val="00DE52C4"/>
    <w:rsid w:val="00DF377B"/>
    <w:rsid w:val="00DF3A1E"/>
    <w:rsid w:val="00E00C8B"/>
    <w:rsid w:val="00E078F4"/>
    <w:rsid w:val="00E122DA"/>
    <w:rsid w:val="00E13BB2"/>
    <w:rsid w:val="00E271E3"/>
    <w:rsid w:val="00E55A3E"/>
    <w:rsid w:val="00E6112F"/>
    <w:rsid w:val="00E6416F"/>
    <w:rsid w:val="00E74405"/>
    <w:rsid w:val="00E74FF4"/>
    <w:rsid w:val="00E816AB"/>
    <w:rsid w:val="00E85E50"/>
    <w:rsid w:val="00EA3CB1"/>
    <w:rsid w:val="00EA4641"/>
    <w:rsid w:val="00EB6B1F"/>
    <w:rsid w:val="00EC1994"/>
    <w:rsid w:val="00ED16B5"/>
    <w:rsid w:val="00ED4D49"/>
    <w:rsid w:val="00EF6740"/>
    <w:rsid w:val="00F00F99"/>
    <w:rsid w:val="00F02211"/>
    <w:rsid w:val="00F024C9"/>
    <w:rsid w:val="00F03A94"/>
    <w:rsid w:val="00F10B4F"/>
    <w:rsid w:val="00F31BB2"/>
    <w:rsid w:val="00F40036"/>
    <w:rsid w:val="00F40D09"/>
    <w:rsid w:val="00F50850"/>
    <w:rsid w:val="00F54969"/>
    <w:rsid w:val="00F55393"/>
    <w:rsid w:val="00F60210"/>
    <w:rsid w:val="00F622EC"/>
    <w:rsid w:val="00F63071"/>
    <w:rsid w:val="00F64632"/>
    <w:rsid w:val="00F673E9"/>
    <w:rsid w:val="00F7517E"/>
    <w:rsid w:val="00F9723C"/>
    <w:rsid w:val="00FA2210"/>
    <w:rsid w:val="00FA5884"/>
    <w:rsid w:val="00FB26E8"/>
    <w:rsid w:val="00FC1A2D"/>
    <w:rsid w:val="00FC209B"/>
    <w:rsid w:val="00FD638E"/>
    <w:rsid w:val="00FD7A61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50</cp:revision>
  <dcterms:created xsi:type="dcterms:W3CDTF">2022-07-13T06:13:00Z</dcterms:created>
  <dcterms:modified xsi:type="dcterms:W3CDTF">2022-12-01T06:36:00Z</dcterms:modified>
</cp:coreProperties>
</file>