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17B179E9" w:rsidR="001635BA" w:rsidRPr="006C5E8D" w:rsidRDefault="00DB7CE9" w:rsidP="00D92C0E">
            <w:pPr>
              <w:spacing w:before="120" w:after="120" w:line="276" w:lineRule="auto"/>
              <w:jc w:val="both"/>
              <w:rPr>
                <w:bCs/>
                <w:sz w:val="22"/>
                <w:szCs w:val="22"/>
                <w:lang w:val="ms-MY"/>
              </w:rPr>
            </w:pPr>
            <w:r>
              <w:rPr>
                <w:bCs/>
                <w:sz w:val="22"/>
                <w:szCs w:val="22"/>
              </w:rPr>
              <w:t>T</w:t>
            </w:r>
            <w:r w:rsidR="00F50CDA">
              <w:rPr>
                <w:bCs/>
                <w:sz w:val="22"/>
                <w:szCs w:val="22"/>
              </w:rPr>
              <w:t>echnical Working Group Food Cost</w:t>
            </w:r>
            <w:r>
              <w:rPr>
                <w:bCs/>
                <w:sz w:val="22"/>
                <w:szCs w:val="22"/>
              </w:rPr>
              <w:t xml:space="preserve"> </w:t>
            </w:r>
            <w:r w:rsidR="00646FB2">
              <w:rPr>
                <w:bCs/>
                <w:sz w:val="22"/>
                <w:szCs w:val="22"/>
              </w:rPr>
              <w:t>Activities and Initiatives</w:t>
            </w:r>
            <w:r w:rsidR="00B26C31">
              <w:rPr>
                <w:bCs/>
                <w:sz w:val="22"/>
                <w:szCs w:val="22"/>
              </w:rPr>
              <w:t xml:space="preserve"> – </w:t>
            </w:r>
            <w:r w:rsidR="00564B48">
              <w:rPr>
                <w:bCs/>
                <w:sz w:val="22"/>
                <w:szCs w:val="22"/>
              </w:rPr>
              <w:t xml:space="preserve">Mapping Out </w:t>
            </w:r>
            <w:r w:rsidR="00B26C31">
              <w:rPr>
                <w:bCs/>
                <w:sz w:val="22"/>
                <w:szCs w:val="22"/>
              </w:rPr>
              <w:t>Supply Chain of Cooking Oil</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54DCBF5C" w:rsidR="001635BA" w:rsidRPr="00DF3A1E" w:rsidRDefault="00AF0692" w:rsidP="00DF3A1E">
            <w:pPr>
              <w:jc w:val="both"/>
              <w:rPr>
                <w:sz w:val="22"/>
                <w:szCs w:val="22"/>
                <w:lang w:val="ms-MY"/>
              </w:rPr>
            </w:pPr>
            <w:r>
              <w:rPr>
                <w:bCs/>
                <w:sz w:val="22"/>
                <w:szCs w:val="22"/>
              </w:rPr>
              <w:t xml:space="preserve">July </w:t>
            </w:r>
            <w:r w:rsidR="001F7FF8">
              <w:rPr>
                <w:bCs/>
                <w:sz w:val="22"/>
                <w:szCs w:val="22"/>
              </w:rPr>
              <w:t xml:space="preserve">2022 – </w:t>
            </w:r>
            <w:r>
              <w:rPr>
                <w:bCs/>
                <w:sz w:val="22"/>
                <w:szCs w:val="22"/>
              </w:rPr>
              <w:t xml:space="preserve">October </w:t>
            </w:r>
            <w:r w:rsidR="001F7FF8">
              <w:rPr>
                <w:bCs/>
                <w:sz w:val="22"/>
                <w:szCs w:val="22"/>
              </w:rPr>
              <w:t>2022</w:t>
            </w: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4998ADC2" w14:textId="16C42211" w:rsidR="00232962" w:rsidRPr="00232962" w:rsidRDefault="00232962" w:rsidP="00232962">
            <w:pPr>
              <w:spacing w:line="276" w:lineRule="auto"/>
              <w:ind w:right="116"/>
              <w:jc w:val="both"/>
              <w:rPr>
                <w:bCs/>
                <w:sz w:val="22"/>
                <w:szCs w:val="22"/>
                <w:lang w:val="sv-SE"/>
              </w:rPr>
            </w:pPr>
            <w:r w:rsidRPr="00232962">
              <w:rPr>
                <w:bCs/>
                <w:sz w:val="22"/>
                <w:szCs w:val="22"/>
                <w:lang w:val="sv-SE"/>
              </w:rPr>
              <w:t xml:space="preserve">The objectives of the </w:t>
            </w:r>
            <w:r w:rsidR="00F50CDA" w:rsidRPr="00F50CDA">
              <w:rPr>
                <w:bCs/>
                <w:sz w:val="22"/>
                <w:szCs w:val="22"/>
                <w:lang w:val="sv-SE"/>
              </w:rPr>
              <w:t xml:space="preserve">Technical Working Group Food Cost </w:t>
            </w:r>
            <w:r w:rsidRPr="00232962">
              <w:rPr>
                <w:bCs/>
                <w:sz w:val="22"/>
                <w:szCs w:val="22"/>
                <w:lang w:val="sv-SE"/>
              </w:rPr>
              <w:t>are:</w:t>
            </w:r>
          </w:p>
          <w:p w14:paraId="2478EB8E" w14:textId="77777777" w:rsidR="0058002D" w:rsidRPr="0058002D"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Promotes ease of doing business through Public-Private Partnership.</w:t>
            </w:r>
          </w:p>
          <w:p w14:paraId="4DF15E42" w14:textId="77777777" w:rsidR="0058002D" w:rsidRPr="0058002D"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Improve business regulations to enhance productivity and competitiveness.</w:t>
            </w:r>
          </w:p>
          <w:p w14:paraId="31DE0119" w14:textId="2588CCEB" w:rsidR="00BA7368" w:rsidRPr="007835C0"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Proactively launch and pursuance of new improvement initiatives.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1E9A4542" w14:textId="77777777" w:rsidR="0058002D" w:rsidRPr="0058002D" w:rsidRDefault="0058002D" w:rsidP="0058002D">
            <w:pPr>
              <w:widowControl w:val="0"/>
              <w:autoSpaceDE w:val="0"/>
              <w:autoSpaceDN w:val="0"/>
              <w:ind w:right="5"/>
              <w:jc w:val="both"/>
              <w:rPr>
                <w:rFonts w:eastAsiaTheme="minorHAnsi"/>
                <w:color w:val="000000"/>
                <w:sz w:val="22"/>
                <w:szCs w:val="22"/>
                <w:lang w:val="en-MY"/>
              </w:rPr>
            </w:pPr>
            <w:r w:rsidRPr="0058002D">
              <w:rPr>
                <w:rFonts w:eastAsiaTheme="minorHAnsi"/>
                <w:color w:val="000000"/>
                <w:sz w:val="22"/>
                <w:szCs w:val="22"/>
                <w:lang w:val="en-MY"/>
              </w:rPr>
              <w:t>The establishment of PEMUDAH has resulted in positive achievements in accelerating public-private sector initiatives in facilitating the way of doing business. The achievements were also recognized by various international bodies including the World Bank, the World Economic Forum and the Institute for Management Development (IMD).</w:t>
            </w:r>
          </w:p>
          <w:p w14:paraId="1F5FB7D1" w14:textId="77777777" w:rsidR="0058002D" w:rsidRPr="0058002D" w:rsidRDefault="0058002D" w:rsidP="0058002D">
            <w:pPr>
              <w:widowControl w:val="0"/>
              <w:autoSpaceDE w:val="0"/>
              <w:autoSpaceDN w:val="0"/>
              <w:ind w:right="5"/>
              <w:jc w:val="both"/>
              <w:rPr>
                <w:rFonts w:eastAsiaTheme="minorHAnsi"/>
                <w:color w:val="000000"/>
                <w:sz w:val="22"/>
                <w:szCs w:val="22"/>
                <w:lang w:val="en-MY"/>
              </w:rPr>
            </w:pPr>
          </w:p>
          <w:p w14:paraId="1F99F3B1" w14:textId="77777777" w:rsidR="001427C7" w:rsidRDefault="0058002D" w:rsidP="007835C0">
            <w:pPr>
              <w:widowControl w:val="0"/>
              <w:autoSpaceDE w:val="0"/>
              <w:autoSpaceDN w:val="0"/>
              <w:ind w:right="5"/>
              <w:jc w:val="both"/>
              <w:rPr>
                <w:rFonts w:eastAsiaTheme="minorHAnsi"/>
                <w:color w:val="000000"/>
                <w:sz w:val="22"/>
                <w:szCs w:val="22"/>
                <w:lang w:val="en-MY"/>
              </w:rPr>
            </w:pPr>
            <w:r w:rsidRPr="0058002D">
              <w:rPr>
                <w:rFonts w:eastAsiaTheme="minorHAnsi"/>
                <w:color w:val="000000"/>
                <w:sz w:val="22"/>
                <w:szCs w:val="22"/>
                <w:lang w:val="en-MY"/>
              </w:rPr>
              <w:t>To continue the momentum of this achievement, the Cabinet Meeting on 26 November 2021 has agreed that the role of PEMUDAH be strengthened and its membership improved to balance the need to boost the delivery system</w:t>
            </w:r>
            <w:r w:rsidR="007835C0">
              <w:rPr>
                <w:rFonts w:eastAsiaTheme="minorHAnsi"/>
                <w:color w:val="000000"/>
                <w:sz w:val="22"/>
                <w:szCs w:val="22"/>
                <w:lang w:val="en-MY"/>
              </w:rPr>
              <w:t xml:space="preserve"> </w:t>
            </w:r>
            <w:r w:rsidRPr="0058002D">
              <w:rPr>
                <w:rFonts w:eastAsiaTheme="minorHAnsi"/>
                <w:color w:val="000000"/>
                <w:sz w:val="22"/>
                <w:szCs w:val="22"/>
                <w:lang w:val="en-MY"/>
              </w:rPr>
              <w:t>regulation and at the same time improve the efficiency of the industry</w:t>
            </w:r>
            <w:r w:rsidR="007835C0">
              <w:rPr>
                <w:rFonts w:eastAsiaTheme="minorHAnsi"/>
                <w:color w:val="000000"/>
                <w:sz w:val="22"/>
                <w:szCs w:val="22"/>
                <w:lang w:val="en-MY"/>
              </w:rPr>
              <w:t>.</w:t>
            </w:r>
          </w:p>
          <w:p w14:paraId="29B5CEA5" w14:textId="68765B50" w:rsidR="00646FB2" w:rsidRPr="00232962" w:rsidRDefault="00646FB2" w:rsidP="007835C0">
            <w:pPr>
              <w:widowControl w:val="0"/>
              <w:autoSpaceDE w:val="0"/>
              <w:autoSpaceDN w:val="0"/>
              <w:ind w:right="5"/>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4568873" w14:textId="702688CB" w:rsidR="007835C0" w:rsidRPr="00646FB2" w:rsidRDefault="007835C0" w:rsidP="007835C0">
            <w:pPr>
              <w:pStyle w:val="ListParagraph"/>
              <w:numPr>
                <w:ilvl w:val="0"/>
                <w:numId w:val="32"/>
              </w:numPr>
              <w:spacing w:line="276" w:lineRule="auto"/>
              <w:ind w:right="116"/>
              <w:rPr>
                <w:sz w:val="22"/>
                <w:szCs w:val="22"/>
                <w:lang w:val="en-MY"/>
              </w:rPr>
            </w:pPr>
            <w:r w:rsidRPr="007835C0">
              <w:rPr>
                <w:sz w:val="22"/>
                <w:szCs w:val="22"/>
                <w:lang w:val="en-GB"/>
              </w:rPr>
              <w:t>To study the World Competitiveness Yearbook (WCY) Framework on Economic Performance for criteria (Food Cost) and provide specific recommendation.</w:t>
            </w:r>
          </w:p>
          <w:p w14:paraId="46BD7CF1" w14:textId="6009D67F" w:rsidR="007835C0" w:rsidRPr="00646FB2" w:rsidRDefault="007835C0" w:rsidP="007835C0">
            <w:pPr>
              <w:pStyle w:val="ListParagraph"/>
              <w:numPr>
                <w:ilvl w:val="0"/>
                <w:numId w:val="32"/>
              </w:numPr>
              <w:spacing w:line="276" w:lineRule="auto"/>
              <w:ind w:right="116"/>
              <w:rPr>
                <w:sz w:val="22"/>
                <w:szCs w:val="22"/>
                <w:lang w:val="en-MY"/>
              </w:rPr>
            </w:pPr>
            <w:r w:rsidRPr="007835C0">
              <w:rPr>
                <w:sz w:val="22"/>
                <w:szCs w:val="22"/>
                <w:lang w:val="en-GB"/>
              </w:rPr>
              <w:t xml:space="preserve">To analyse </w:t>
            </w:r>
            <w:r w:rsidRPr="007835C0">
              <w:rPr>
                <w:sz w:val="22"/>
                <w:szCs w:val="22"/>
                <w:lang w:val="en-MY"/>
              </w:rPr>
              <w:t xml:space="preserve">concerns raised by relevant stakeholders or affected parties </w:t>
            </w:r>
            <w:r w:rsidRPr="007835C0">
              <w:rPr>
                <w:sz w:val="22"/>
                <w:szCs w:val="22"/>
                <w:lang w:val="en-GB"/>
              </w:rPr>
              <w:t xml:space="preserve">regarding the sub-factor of Economic Performance (Food Cost) and </w:t>
            </w:r>
            <w:r w:rsidRPr="007835C0">
              <w:rPr>
                <w:sz w:val="22"/>
                <w:szCs w:val="22"/>
                <w:lang w:val="en-MY"/>
              </w:rPr>
              <w:t xml:space="preserve">to </w:t>
            </w:r>
            <w:r w:rsidRPr="007835C0">
              <w:rPr>
                <w:sz w:val="22"/>
                <w:szCs w:val="22"/>
                <w:lang w:val="en-GB"/>
              </w:rPr>
              <w:t xml:space="preserve">propose specific improvement to </w:t>
            </w:r>
            <w:r w:rsidRPr="007835C0">
              <w:rPr>
                <w:sz w:val="22"/>
                <w:szCs w:val="22"/>
                <w:lang w:val="en-MY"/>
              </w:rPr>
              <w:t xml:space="preserve">be implemented by </w:t>
            </w:r>
            <w:r w:rsidRPr="007835C0">
              <w:rPr>
                <w:sz w:val="22"/>
                <w:szCs w:val="22"/>
                <w:lang w:val="en-GB"/>
              </w:rPr>
              <w:t xml:space="preserve">the process owner. </w:t>
            </w:r>
          </w:p>
          <w:p w14:paraId="278AC313" w14:textId="0FFF0502" w:rsidR="00A261A1" w:rsidRPr="00B27ECA" w:rsidRDefault="007835C0" w:rsidP="00B27ECA">
            <w:pPr>
              <w:pStyle w:val="ListParagraph"/>
              <w:numPr>
                <w:ilvl w:val="0"/>
                <w:numId w:val="32"/>
              </w:numPr>
              <w:spacing w:line="276" w:lineRule="auto"/>
              <w:ind w:right="116"/>
              <w:rPr>
                <w:bCs/>
                <w:sz w:val="22"/>
                <w:szCs w:val="22"/>
                <w:lang w:val="en-MY"/>
              </w:rPr>
            </w:pPr>
            <w:r w:rsidRPr="007835C0">
              <w:rPr>
                <w:sz w:val="22"/>
                <w:szCs w:val="22"/>
                <w:lang w:val="en-GB"/>
              </w:rPr>
              <w:t xml:space="preserve">To monitor and report </w:t>
            </w:r>
            <w:r w:rsidRPr="007835C0">
              <w:rPr>
                <w:sz w:val="22"/>
                <w:szCs w:val="22"/>
                <w:lang w:val="en-MY"/>
              </w:rPr>
              <w:t>to PEMUDAH on the issues</w:t>
            </w:r>
            <w:r w:rsidRPr="007835C0">
              <w:rPr>
                <w:sz w:val="22"/>
                <w:szCs w:val="22"/>
                <w:lang w:val="en-GB"/>
              </w:rPr>
              <w:t xml:space="preserve"> and outcomes e</w:t>
            </w:r>
            <w:r w:rsidRPr="00B27ECA">
              <w:rPr>
                <w:sz w:val="22"/>
                <w:szCs w:val="22"/>
                <w:lang w:val="en-GB"/>
              </w:rPr>
              <w:t>ncounter</w:t>
            </w:r>
            <w:r w:rsidRPr="00B27ECA">
              <w:rPr>
                <w:sz w:val="22"/>
                <w:szCs w:val="22"/>
                <w:lang w:val="en-MY"/>
              </w:rPr>
              <w:t xml:space="preserve">ed </w:t>
            </w:r>
            <w:r w:rsidRPr="00B27ECA">
              <w:rPr>
                <w:sz w:val="22"/>
                <w:szCs w:val="22"/>
                <w:lang w:val="en-GB"/>
              </w:rPr>
              <w:t>to enhance competitiveness of the country</w:t>
            </w:r>
            <w:r w:rsidRPr="00B27ECA">
              <w:rPr>
                <w:sz w:val="22"/>
                <w:szCs w:val="22"/>
                <w:lang w:val="en-MY"/>
              </w:rPr>
              <w:t>.</w:t>
            </w:r>
            <w:r w:rsidRPr="00B27ECA">
              <w:rPr>
                <w:b/>
                <w:bCs/>
                <w:sz w:val="22"/>
                <w:szCs w:val="22"/>
                <w:lang w:val="en-GB"/>
              </w:rPr>
              <w:t xml:space="preserve">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49402B8D" w14:textId="77777777" w:rsidR="001635BA" w:rsidRDefault="00232962"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14:paraId="309AD34C" w14:textId="30C582AC" w:rsidR="00FD638E" w:rsidRPr="00A261A1" w:rsidRDefault="00ED16B5"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8EB5F3C" w14:textId="630C5DE4" w:rsidR="001F27B3" w:rsidRDefault="007835C0" w:rsidP="001F27B3">
            <w:pPr>
              <w:pStyle w:val="ListParagraph"/>
              <w:numPr>
                <w:ilvl w:val="0"/>
                <w:numId w:val="33"/>
              </w:numPr>
              <w:autoSpaceDE w:val="0"/>
              <w:autoSpaceDN w:val="0"/>
              <w:adjustRightInd w:val="0"/>
              <w:spacing w:line="276" w:lineRule="auto"/>
              <w:jc w:val="both"/>
              <w:rPr>
                <w:sz w:val="22"/>
                <w:szCs w:val="22"/>
                <w:lang w:val="ms-MY"/>
              </w:rPr>
            </w:pPr>
            <w:r>
              <w:rPr>
                <w:sz w:val="22"/>
                <w:szCs w:val="22"/>
                <w:lang w:val="ms-MY"/>
              </w:rPr>
              <w:t xml:space="preserve">Comprehensive report on the initiatives and activities of </w:t>
            </w:r>
            <w:r w:rsidRPr="00F50CDA">
              <w:rPr>
                <w:bCs/>
                <w:sz w:val="22"/>
                <w:szCs w:val="22"/>
                <w:lang w:val="sv-SE"/>
              </w:rPr>
              <w:t>Technical Working Group Food Cost</w:t>
            </w:r>
            <w:r w:rsidR="00CC3990" w:rsidRPr="00F54969">
              <w:rPr>
                <w:sz w:val="22"/>
                <w:szCs w:val="22"/>
                <w:lang w:val="ms-MY"/>
              </w:rPr>
              <w:t>.</w:t>
            </w:r>
          </w:p>
          <w:p w14:paraId="6C7AEE8F" w14:textId="77777777" w:rsidR="00646FB2" w:rsidRDefault="00646FB2" w:rsidP="00646FB2">
            <w:pPr>
              <w:pStyle w:val="ListParagraph"/>
              <w:autoSpaceDE w:val="0"/>
              <w:autoSpaceDN w:val="0"/>
              <w:adjustRightInd w:val="0"/>
              <w:spacing w:line="276" w:lineRule="auto"/>
              <w:jc w:val="both"/>
              <w:rPr>
                <w:sz w:val="22"/>
                <w:szCs w:val="22"/>
                <w:lang w:val="ms-MY"/>
              </w:rPr>
            </w:pPr>
          </w:p>
          <w:p w14:paraId="3D4D92E6" w14:textId="3BD3D221" w:rsidR="00A261A1" w:rsidRPr="001F27B3" w:rsidRDefault="001F27B3" w:rsidP="001F27B3">
            <w:pPr>
              <w:pStyle w:val="ListParagraph"/>
              <w:numPr>
                <w:ilvl w:val="0"/>
                <w:numId w:val="33"/>
              </w:numPr>
              <w:autoSpaceDE w:val="0"/>
              <w:autoSpaceDN w:val="0"/>
              <w:adjustRightInd w:val="0"/>
              <w:spacing w:line="276" w:lineRule="auto"/>
              <w:jc w:val="both"/>
              <w:rPr>
                <w:sz w:val="22"/>
                <w:szCs w:val="22"/>
                <w:lang w:val="ms-MY"/>
              </w:rPr>
            </w:pPr>
            <w:r w:rsidRPr="001F27B3">
              <w:rPr>
                <w:sz w:val="22"/>
                <w:szCs w:val="22"/>
                <w:lang w:val="ms-MY"/>
              </w:rPr>
              <w:t xml:space="preserve">Well-informed regulators on matters relating to </w:t>
            </w:r>
            <w:r w:rsidR="007835C0">
              <w:rPr>
                <w:sz w:val="22"/>
                <w:szCs w:val="22"/>
                <w:lang w:val="ms-MY"/>
              </w:rPr>
              <w:t>Food Cost</w:t>
            </w:r>
            <w:r w:rsidRPr="001F27B3">
              <w:rPr>
                <w:sz w:val="22"/>
                <w:szCs w:val="22"/>
                <w:lang w:val="ms-MY"/>
              </w:rPr>
              <w:t xml:space="preserve"> on designing public policy</w:t>
            </w:r>
            <w:r w:rsidR="007835C0">
              <w:rPr>
                <w:sz w:val="22"/>
                <w:szCs w:val="22"/>
                <w:lang w:val="ms-MY"/>
              </w:rPr>
              <w:t xml:space="preserve">. </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26C3900A" w:rsidR="00F024C9" w:rsidRPr="007835C0" w:rsidRDefault="007835C0" w:rsidP="007835C0">
            <w:pPr>
              <w:pStyle w:val="ListParagraph"/>
              <w:numPr>
                <w:ilvl w:val="0"/>
                <w:numId w:val="34"/>
              </w:numPr>
              <w:jc w:val="both"/>
              <w:rPr>
                <w:sz w:val="22"/>
                <w:szCs w:val="22"/>
                <w:lang w:val="ms-MY"/>
              </w:rPr>
            </w:pPr>
            <w:r>
              <w:rPr>
                <w:sz w:val="22"/>
                <w:szCs w:val="22"/>
                <w:lang w:val="ms-MY"/>
              </w:rPr>
              <w:t xml:space="preserve">Report on the initiatives and activities of </w:t>
            </w:r>
            <w:r w:rsidRPr="00F50CDA">
              <w:rPr>
                <w:bCs/>
                <w:sz w:val="22"/>
                <w:szCs w:val="22"/>
                <w:lang w:val="sv-SE"/>
              </w:rPr>
              <w:t>Technical Working Group Food Cost</w:t>
            </w:r>
            <w:r>
              <w:rPr>
                <w:sz w:val="22"/>
                <w:szCs w:val="22"/>
                <w:lang w:val="ms-MY"/>
              </w:rPr>
              <w:t xml:space="preserve"> </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086137ED"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14:paraId="30F8FE56" w14:textId="0A04A92E" w:rsidR="001635BA" w:rsidRP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 xml:space="preserve">Business Association </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76B1A501" w:rsidR="004A3E34" w:rsidRDefault="0066761C" w:rsidP="006969F7">
            <w:pPr>
              <w:spacing w:before="120" w:line="276" w:lineRule="auto"/>
              <w:jc w:val="both"/>
              <w:rPr>
                <w:sz w:val="22"/>
                <w:szCs w:val="22"/>
                <w:lang w:val="ms-MY"/>
              </w:rPr>
            </w:pPr>
            <w:r w:rsidRPr="0066761C">
              <w:rPr>
                <w:sz w:val="22"/>
                <w:szCs w:val="22"/>
                <w:lang w:val="ms-MY"/>
              </w:rPr>
              <w:t>RM</w:t>
            </w:r>
            <w:r w:rsidR="00646FB2">
              <w:rPr>
                <w:sz w:val="22"/>
                <w:szCs w:val="22"/>
                <w:lang w:val="ms-MY"/>
              </w:rPr>
              <w:t>1</w:t>
            </w:r>
            <w:r w:rsidR="00986FA5">
              <w:rPr>
                <w:sz w:val="22"/>
                <w:szCs w:val="22"/>
                <w:lang w:val="ms-MY"/>
              </w:rPr>
              <w:t>9</w:t>
            </w:r>
            <w:r w:rsidR="00646FB2">
              <w:rPr>
                <w:sz w:val="22"/>
                <w:szCs w:val="22"/>
                <w:lang w:val="ms-MY"/>
              </w:rPr>
              <w:t>,</w:t>
            </w:r>
            <w:r w:rsidR="007D7FD9">
              <w:rPr>
                <w:sz w:val="22"/>
                <w:szCs w:val="22"/>
                <w:lang w:val="ms-MY"/>
              </w:rPr>
              <w:t>850</w:t>
            </w:r>
            <w:r w:rsidR="00646FB2">
              <w:rPr>
                <w:sz w:val="22"/>
                <w:szCs w:val="22"/>
                <w:lang w:val="ms-MY"/>
              </w:rPr>
              <w:t>.00</w:t>
            </w:r>
            <w:r w:rsidRPr="0066761C">
              <w:rPr>
                <w:sz w:val="22"/>
                <w:szCs w:val="22"/>
                <w:lang w:val="ms-MY"/>
              </w:rPr>
              <w:t xml:space="preserve"> </w:t>
            </w:r>
          </w:p>
          <w:p w14:paraId="61898DAC" w14:textId="4738A7E7" w:rsidR="003423EC" w:rsidRDefault="00646FB2" w:rsidP="00646FB2">
            <w:pPr>
              <w:spacing w:before="120" w:line="276" w:lineRule="auto"/>
              <w:jc w:val="both"/>
              <w:rPr>
                <w:sz w:val="22"/>
                <w:szCs w:val="22"/>
                <w:lang w:val="ms-MY"/>
              </w:rPr>
            </w:pPr>
            <w:r w:rsidRPr="00646FB2">
              <w:rPr>
                <w:sz w:val="22"/>
                <w:szCs w:val="22"/>
                <w:lang w:val="ms-MY"/>
              </w:rPr>
              <w:t>D</w:t>
            </w:r>
            <w:r w:rsidR="00795369">
              <w:rPr>
                <w:sz w:val="22"/>
                <w:szCs w:val="22"/>
                <w:lang w:val="ms-MY"/>
              </w:rPr>
              <w:t xml:space="preserve">evelopment </w:t>
            </w:r>
            <w:r w:rsidRPr="00646FB2">
              <w:rPr>
                <w:sz w:val="22"/>
                <w:szCs w:val="22"/>
                <w:lang w:val="ms-MY"/>
              </w:rPr>
              <w:t>Budget FORE 2022</w:t>
            </w:r>
            <w:r w:rsidR="009335DF">
              <w:rPr>
                <w:sz w:val="22"/>
                <w:szCs w:val="22"/>
                <w:lang w:val="ms-MY"/>
              </w:rPr>
              <w:t xml:space="preserve"> (RM19600)</w:t>
            </w:r>
          </w:p>
          <w:p w14:paraId="742337CD" w14:textId="1C0FDF35" w:rsidR="00795369" w:rsidRPr="0066761C" w:rsidRDefault="00795369" w:rsidP="00646FB2">
            <w:pPr>
              <w:spacing w:before="120" w:line="276" w:lineRule="auto"/>
              <w:jc w:val="both"/>
              <w:rPr>
                <w:sz w:val="22"/>
                <w:szCs w:val="22"/>
                <w:lang w:val="ms-MY"/>
              </w:rPr>
            </w:pPr>
            <w:r>
              <w:rPr>
                <w:sz w:val="22"/>
                <w:szCs w:val="22"/>
                <w:lang w:val="ms-MY"/>
              </w:rPr>
              <w:t>Opera</w:t>
            </w:r>
            <w:r w:rsidR="002F0106">
              <w:rPr>
                <w:sz w:val="22"/>
                <w:szCs w:val="22"/>
                <w:lang w:val="ms-MY"/>
              </w:rPr>
              <w:t xml:space="preserve">tional </w:t>
            </w:r>
            <w:r>
              <w:rPr>
                <w:sz w:val="22"/>
                <w:szCs w:val="22"/>
                <w:lang w:val="ms-MY"/>
              </w:rPr>
              <w:t>Budget RM40</w:t>
            </w:r>
            <w:r w:rsidR="009335DF">
              <w:rPr>
                <w:sz w:val="22"/>
                <w:szCs w:val="22"/>
                <w:lang w:val="ms-MY"/>
              </w:rPr>
              <w:t xml:space="preserve"> (RM250)</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70181F51" w:rsidR="001635BA" w:rsidRPr="00830EA7" w:rsidRDefault="00D33BB0" w:rsidP="00830EA7">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Activities and Initiatives</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35B5467F" w14:textId="77777777" w:rsidR="005C65EA" w:rsidRDefault="005C65EA" w:rsidP="008C7CBE">
      <w:pPr>
        <w:spacing w:line="276" w:lineRule="auto"/>
        <w:ind w:left="-142"/>
        <w:rPr>
          <w:sz w:val="22"/>
          <w:szCs w:val="22"/>
        </w:rPr>
      </w:pPr>
    </w:p>
    <w:p w14:paraId="4C066003" w14:textId="622EBA7D" w:rsidR="008C7CBE" w:rsidRPr="00E55A3E" w:rsidRDefault="008C7CBE" w:rsidP="008C7CBE">
      <w:pPr>
        <w:spacing w:line="276" w:lineRule="auto"/>
        <w:ind w:left="-142"/>
        <w:rPr>
          <w:sz w:val="22"/>
          <w:szCs w:val="22"/>
        </w:rPr>
      </w:pPr>
      <w:r w:rsidRPr="00E55A3E">
        <w:rPr>
          <w:sz w:val="22"/>
          <w:szCs w:val="22"/>
        </w:rPr>
        <w:t>**</w:t>
      </w:r>
      <w:proofErr w:type="spellStart"/>
      <w:r w:rsidRPr="00E55A3E">
        <w:rPr>
          <w:sz w:val="22"/>
          <w:szCs w:val="22"/>
        </w:rPr>
        <w:t>Sila</w:t>
      </w:r>
      <w:proofErr w:type="spellEnd"/>
      <w:r w:rsidRPr="00E55A3E">
        <w:rPr>
          <w:sz w:val="22"/>
          <w:szCs w:val="22"/>
        </w:rPr>
        <w:t xml:space="preserve"> </w:t>
      </w:r>
      <w:proofErr w:type="spellStart"/>
      <w:r w:rsidRPr="00E55A3E">
        <w:rPr>
          <w:sz w:val="22"/>
          <w:szCs w:val="22"/>
        </w:rPr>
        <w:t>lampirkan</w:t>
      </w:r>
      <w:proofErr w:type="spellEnd"/>
      <w:r w:rsidRPr="00E55A3E">
        <w:rPr>
          <w:sz w:val="22"/>
          <w:szCs w:val="22"/>
        </w:rPr>
        <w:t xml:space="preserve"> </w:t>
      </w:r>
      <w:proofErr w:type="spellStart"/>
      <w:r w:rsidRPr="00E55A3E">
        <w:rPr>
          <w:sz w:val="22"/>
          <w:szCs w:val="22"/>
        </w:rPr>
        <w:t>maklumat-maklumat</w:t>
      </w:r>
      <w:proofErr w:type="spellEnd"/>
      <w:r w:rsidRPr="00E55A3E">
        <w:rPr>
          <w:sz w:val="22"/>
          <w:szCs w:val="22"/>
        </w:rPr>
        <w:t xml:space="preserve"> lain yang </w:t>
      </w:r>
      <w:proofErr w:type="spellStart"/>
      <w:r w:rsidRPr="00E55A3E">
        <w:rPr>
          <w:sz w:val="22"/>
          <w:szCs w:val="22"/>
        </w:rPr>
        <w:t>berkaitan</w:t>
      </w:r>
      <w:proofErr w:type="spellEnd"/>
      <w:r w:rsidRPr="00E55A3E">
        <w:rPr>
          <w:sz w:val="22"/>
          <w:szCs w:val="22"/>
        </w:rPr>
        <w:t xml:space="preserve"> </w:t>
      </w:r>
      <w:proofErr w:type="spellStart"/>
      <w:r w:rsidRPr="00E55A3E">
        <w:rPr>
          <w:sz w:val="22"/>
          <w:szCs w:val="22"/>
        </w:rPr>
        <w:t>sekiranya</w:t>
      </w:r>
      <w:proofErr w:type="spellEnd"/>
      <w:r w:rsidRPr="00E55A3E">
        <w:rPr>
          <w:sz w:val="22"/>
          <w:szCs w:val="22"/>
        </w:rPr>
        <w:t xml:space="preserve"> </w:t>
      </w:r>
      <w:proofErr w:type="spellStart"/>
      <w:r w:rsidRPr="00E55A3E">
        <w:rPr>
          <w:sz w:val="22"/>
          <w:szCs w:val="22"/>
        </w:rPr>
        <w:t>perlu</w:t>
      </w:r>
      <w:proofErr w:type="spellEnd"/>
      <w:r w:rsidRPr="00E55A3E">
        <w:rPr>
          <w:sz w:val="22"/>
          <w:szCs w:val="22"/>
        </w:rPr>
        <w:t xml:space="preserve">. </w:t>
      </w:r>
    </w:p>
    <w:p w14:paraId="2B9E31F3" w14:textId="35B3BC2F" w:rsidR="008C7CBE" w:rsidRPr="00E55A3E" w:rsidRDefault="008C7CBE" w:rsidP="008C7CBE">
      <w:pPr>
        <w:spacing w:line="276" w:lineRule="auto"/>
        <w:rPr>
          <w:sz w:val="22"/>
          <w:szCs w:val="22"/>
        </w:rPr>
      </w:pPr>
      <w:r w:rsidRPr="00E55A3E">
        <w:rPr>
          <w:sz w:val="22"/>
          <w:szCs w:val="22"/>
        </w:rPr>
        <w:t>(</w:t>
      </w:r>
      <w:proofErr w:type="spellStart"/>
      <w:r w:rsidRPr="00E55A3E">
        <w:rPr>
          <w:sz w:val="22"/>
          <w:szCs w:val="22"/>
        </w:rPr>
        <w:t>Contoh</w:t>
      </w:r>
      <w:proofErr w:type="spellEnd"/>
      <w:r w:rsidRPr="00E55A3E">
        <w:rPr>
          <w:sz w:val="22"/>
          <w:szCs w:val="22"/>
        </w:rPr>
        <w:t xml:space="preserve">: Agenda program, </w:t>
      </w:r>
      <w:proofErr w:type="spellStart"/>
      <w:r w:rsidRPr="00E55A3E">
        <w:rPr>
          <w:sz w:val="22"/>
          <w:szCs w:val="22"/>
        </w:rPr>
        <w:t>perincian</w:t>
      </w:r>
      <w:proofErr w:type="spellEnd"/>
      <w:r w:rsidRPr="00E55A3E">
        <w:rPr>
          <w:sz w:val="22"/>
          <w:szCs w:val="22"/>
        </w:rPr>
        <w:t xml:space="preserve"> kos,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risiko</w:t>
      </w:r>
      <w:proofErr w:type="spellEnd"/>
      <w:r w:rsidRPr="00E55A3E">
        <w:rPr>
          <w:sz w:val="22"/>
          <w:szCs w:val="22"/>
        </w:rPr>
        <w:t xml:space="preserve">, </w:t>
      </w:r>
      <w:proofErr w:type="spellStart"/>
      <w:r w:rsidRPr="00E55A3E">
        <w:rPr>
          <w:sz w:val="22"/>
          <w:szCs w:val="22"/>
        </w:rPr>
        <w:t>gambar</w:t>
      </w:r>
      <w:proofErr w:type="spellEnd"/>
      <w:r w:rsidRPr="00E55A3E">
        <w:rPr>
          <w:sz w:val="22"/>
          <w:szCs w:val="22"/>
        </w:rPr>
        <w:t xml:space="preserve"> rajah, </w:t>
      </w:r>
      <w:proofErr w:type="spellStart"/>
      <w:r w:rsidRPr="00E55A3E">
        <w:rPr>
          <w:sz w:val="22"/>
          <w:szCs w:val="22"/>
        </w:rPr>
        <w:t>lakaran</w:t>
      </w:r>
      <w:proofErr w:type="spellEnd"/>
      <w:r w:rsidRPr="00E55A3E">
        <w:rPr>
          <w:sz w:val="22"/>
          <w:szCs w:val="22"/>
        </w:rPr>
        <w:t xml:space="preserve">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senarai</w:t>
      </w:r>
      <w:proofErr w:type="spellEnd"/>
      <w:r w:rsidRPr="00E55A3E">
        <w:rPr>
          <w:sz w:val="22"/>
          <w:szCs w:val="22"/>
        </w:rPr>
        <w:t xml:space="preserve"> </w:t>
      </w:r>
      <w:proofErr w:type="spellStart"/>
      <w:r w:rsidRPr="00E55A3E">
        <w:rPr>
          <w:sz w:val="22"/>
          <w:szCs w:val="22"/>
        </w:rPr>
        <w:t>nama</w:t>
      </w:r>
      <w:proofErr w:type="spellEnd"/>
      <w:r w:rsidRPr="00E55A3E">
        <w:rPr>
          <w:sz w:val="22"/>
          <w:szCs w:val="22"/>
        </w:rPr>
        <w:t xml:space="preserve">, carta Gantt, </w:t>
      </w:r>
      <w:proofErr w:type="spellStart"/>
      <w:r w:rsidRPr="00E55A3E">
        <w:rPr>
          <w:sz w:val="22"/>
          <w:szCs w:val="22"/>
        </w:rPr>
        <w:t>dll</w:t>
      </w:r>
      <w:proofErr w:type="spellEnd"/>
      <w:r w:rsidRPr="00E55A3E">
        <w:rPr>
          <w:sz w:val="22"/>
          <w:szCs w:val="22"/>
        </w:rPr>
        <w:t>.</w:t>
      </w:r>
      <w:r w:rsidR="00A84887" w:rsidRPr="00E55A3E">
        <w:rPr>
          <w:sz w:val="22"/>
          <w:szCs w:val="22"/>
        </w:rPr>
        <w:t>)</w:t>
      </w:r>
    </w:p>
    <w:p w14:paraId="4B472D3E" w14:textId="431ED205" w:rsidR="00584848" w:rsidRDefault="00584848" w:rsidP="008C7CBE">
      <w:pPr>
        <w:spacing w:line="276" w:lineRule="auto"/>
        <w:rPr>
          <w:sz w:val="22"/>
          <w:szCs w:val="22"/>
        </w:rPr>
      </w:pPr>
    </w:p>
    <w:p w14:paraId="106BDD37" w14:textId="151240D4" w:rsidR="00646FB2" w:rsidRDefault="00646FB2" w:rsidP="008C7CBE">
      <w:pPr>
        <w:spacing w:line="276" w:lineRule="auto"/>
        <w:rPr>
          <w:sz w:val="22"/>
          <w:szCs w:val="22"/>
        </w:rPr>
      </w:pPr>
    </w:p>
    <w:p w14:paraId="784DC12E" w14:textId="59F8FC71" w:rsidR="00646FB2" w:rsidRDefault="00646FB2" w:rsidP="008C7CBE">
      <w:pPr>
        <w:spacing w:line="276" w:lineRule="auto"/>
        <w:rPr>
          <w:sz w:val="22"/>
          <w:szCs w:val="22"/>
        </w:rPr>
      </w:pPr>
    </w:p>
    <w:p w14:paraId="3FF96945" w14:textId="5E485D52" w:rsidR="00646FB2" w:rsidRDefault="00646FB2" w:rsidP="008C7CBE">
      <w:pPr>
        <w:spacing w:line="276" w:lineRule="auto"/>
        <w:rPr>
          <w:sz w:val="22"/>
          <w:szCs w:val="22"/>
        </w:rPr>
      </w:pPr>
    </w:p>
    <w:p w14:paraId="19310A27" w14:textId="095F3B36" w:rsidR="00646FB2" w:rsidRDefault="00646FB2" w:rsidP="008C7CBE">
      <w:pPr>
        <w:spacing w:line="276" w:lineRule="auto"/>
        <w:rPr>
          <w:sz w:val="22"/>
          <w:szCs w:val="22"/>
        </w:rPr>
      </w:pPr>
    </w:p>
    <w:p w14:paraId="256F2D35" w14:textId="352612A3" w:rsidR="00646FB2" w:rsidRDefault="00646FB2" w:rsidP="008C7CBE">
      <w:pPr>
        <w:spacing w:line="276" w:lineRule="auto"/>
        <w:rPr>
          <w:sz w:val="22"/>
          <w:szCs w:val="22"/>
        </w:rPr>
      </w:pPr>
    </w:p>
    <w:p w14:paraId="10A5BC87" w14:textId="413E3B31" w:rsidR="00646FB2" w:rsidRDefault="00646FB2" w:rsidP="008C7CBE">
      <w:pPr>
        <w:spacing w:line="276" w:lineRule="auto"/>
        <w:rPr>
          <w:sz w:val="22"/>
          <w:szCs w:val="22"/>
        </w:rPr>
      </w:pPr>
    </w:p>
    <w:p w14:paraId="0B71B0D4" w14:textId="23996951" w:rsidR="00646FB2" w:rsidRDefault="00646FB2" w:rsidP="008C7CBE">
      <w:pPr>
        <w:spacing w:line="276" w:lineRule="auto"/>
        <w:rPr>
          <w:sz w:val="22"/>
          <w:szCs w:val="22"/>
        </w:rPr>
      </w:pPr>
    </w:p>
    <w:p w14:paraId="4F6A1A06" w14:textId="34752A9A" w:rsidR="00646FB2" w:rsidRDefault="00646FB2" w:rsidP="008C7CBE">
      <w:pPr>
        <w:spacing w:line="276" w:lineRule="auto"/>
        <w:rPr>
          <w:sz w:val="22"/>
          <w:szCs w:val="22"/>
        </w:rPr>
      </w:pPr>
    </w:p>
    <w:p w14:paraId="39AFABBD" w14:textId="18D81966" w:rsidR="001B15AC" w:rsidRPr="005E2649" w:rsidRDefault="001B15AC" w:rsidP="008C7CBE">
      <w:pPr>
        <w:spacing w:line="276" w:lineRule="auto"/>
        <w:rPr>
          <w:b/>
          <w:bCs/>
        </w:rPr>
      </w:pPr>
      <w:r w:rsidRPr="005E2649">
        <w:rPr>
          <w:b/>
          <w:bCs/>
        </w:rPr>
        <w:t xml:space="preserve">Estimated Cost </w:t>
      </w:r>
    </w:p>
    <w:p w14:paraId="3553137B" w14:textId="5A34413A" w:rsidR="001B15AC" w:rsidRDefault="001B15AC" w:rsidP="008C7CBE">
      <w:pPr>
        <w:spacing w:line="276" w:lineRule="auto"/>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3827"/>
        <w:gridCol w:w="1423"/>
        <w:gridCol w:w="1346"/>
      </w:tblGrid>
      <w:tr w:rsidR="001B15AC" w:rsidRPr="000055F3" w14:paraId="44A27D0E" w14:textId="77777777" w:rsidTr="00D61147">
        <w:trPr>
          <w:trHeight w:val="576"/>
          <w:tblHeader/>
        </w:trPr>
        <w:tc>
          <w:tcPr>
            <w:tcW w:w="704" w:type="dxa"/>
            <w:shd w:val="clear" w:color="auto" w:fill="ACB9CA" w:themeFill="text2" w:themeFillTint="66"/>
            <w:noWrap/>
            <w:vAlign w:val="center"/>
            <w:hideMark/>
          </w:tcPr>
          <w:p w14:paraId="08FB9B4C"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NO.</w:t>
            </w:r>
          </w:p>
        </w:tc>
        <w:tc>
          <w:tcPr>
            <w:tcW w:w="1701" w:type="dxa"/>
            <w:shd w:val="clear" w:color="auto" w:fill="ACB9CA" w:themeFill="text2" w:themeFillTint="66"/>
            <w:vAlign w:val="center"/>
          </w:tcPr>
          <w:p w14:paraId="37817645"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PHASE</w:t>
            </w:r>
          </w:p>
        </w:tc>
        <w:tc>
          <w:tcPr>
            <w:tcW w:w="3827" w:type="dxa"/>
            <w:shd w:val="clear" w:color="auto" w:fill="ACB9CA" w:themeFill="text2" w:themeFillTint="66"/>
            <w:noWrap/>
            <w:vAlign w:val="center"/>
            <w:hideMark/>
          </w:tcPr>
          <w:p w14:paraId="7CA30FBA" w14:textId="135ED5F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ITEM</w:t>
            </w:r>
          </w:p>
        </w:tc>
        <w:tc>
          <w:tcPr>
            <w:tcW w:w="1423" w:type="dxa"/>
            <w:shd w:val="clear" w:color="auto" w:fill="ACB9CA" w:themeFill="text2" w:themeFillTint="66"/>
            <w:noWrap/>
            <w:vAlign w:val="center"/>
            <w:hideMark/>
          </w:tcPr>
          <w:p w14:paraId="169F4A89"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 xml:space="preserve">ESTIMATED </w:t>
            </w:r>
          </w:p>
          <w:p w14:paraId="77FB15E6"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COST (RM)</w:t>
            </w:r>
          </w:p>
        </w:tc>
        <w:tc>
          <w:tcPr>
            <w:tcW w:w="1346" w:type="dxa"/>
            <w:shd w:val="clear" w:color="auto" w:fill="ACB9CA" w:themeFill="text2" w:themeFillTint="66"/>
            <w:noWrap/>
            <w:vAlign w:val="center"/>
            <w:hideMark/>
          </w:tcPr>
          <w:p w14:paraId="7684183B"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TOTAL (RM)</w:t>
            </w:r>
          </w:p>
        </w:tc>
      </w:tr>
      <w:tr w:rsidR="00BE5FFB" w:rsidRPr="000055F3" w14:paraId="456C3DEE" w14:textId="77777777" w:rsidTr="00EF4F4C">
        <w:trPr>
          <w:trHeight w:val="1008"/>
        </w:trPr>
        <w:tc>
          <w:tcPr>
            <w:tcW w:w="704" w:type="dxa"/>
            <w:vMerge w:val="restart"/>
            <w:shd w:val="clear" w:color="auto" w:fill="auto"/>
            <w:noWrap/>
          </w:tcPr>
          <w:p w14:paraId="43770F29" w14:textId="77777777" w:rsidR="00BE5FFB" w:rsidRPr="000055F3" w:rsidRDefault="00BE5FFB" w:rsidP="00024DF1">
            <w:pPr>
              <w:jc w:val="center"/>
              <w:rPr>
                <w:color w:val="000000"/>
                <w:sz w:val="20"/>
                <w:szCs w:val="20"/>
                <w:lang w:val="en-MY" w:eastAsia="en-MY"/>
              </w:rPr>
            </w:pPr>
          </w:p>
          <w:p w14:paraId="498D80A5" w14:textId="1FD6E898" w:rsidR="00BE5FFB" w:rsidRPr="000055F3" w:rsidRDefault="00EF4F4C" w:rsidP="00024DF1">
            <w:pPr>
              <w:jc w:val="center"/>
              <w:rPr>
                <w:color w:val="000000"/>
                <w:sz w:val="20"/>
                <w:szCs w:val="20"/>
                <w:lang w:val="en-MY" w:eastAsia="en-MY"/>
              </w:rPr>
            </w:pPr>
            <w:r>
              <w:rPr>
                <w:color w:val="000000"/>
                <w:sz w:val="20"/>
                <w:szCs w:val="20"/>
                <w:lang w:val="en-MY" w:eastAsia="en-MY"/>
              </w:rPr>
              <w:t>1</w:t>
            </w:r>
            <w:r w:rsidR="00BE5FFB" w:rsidRPr="000055F3">
              <w:rPr>
                <w:color w:val="000000"/>
                <w:sz w:val="20"/>
                <w:szCs w:val="20"/>
                <w:lang w:val="en-MY" w:eastAsia="en-MY"/>
              </w:rPr>
              <w:t>.</w:t>
            </w:r>
          </w:p>
        </w:tc>
        <w:tc>
          <w:tcPr>
            <w:tcW w:w="1701" w:type="dxa"/>
            <w:vMerge w:val="restart"/>
          </w:tcPr>
          <w:p w14:paraId="548D113B" w14:textId="77777777" w:rsidR="00BE5FFB" w:rsidRPr="000055F3" w:rsidRDefault="00BE5FFB" w:rsidP="00024DF1">
            <w:pPr>
              <w:rPr>
                <w:color w:val="000000"/>
                <w:sz w:val="20"/>
                <w:szCs w:val="20"/>
                <w:lang w:val="en-MY" w:eastAsia="en-MY"/>
              </w:rPr>
            </w:pPr>
          </w:p>
          <w:p w14:paraId="42DAF5BA" w14:textId="77777777" w:rsidR="00BE5FFB" w:rsidRPr="000055F3" w:rsidRDefault="00BE5FFB" w:rsidP="00024DF1">
            <w:pPr>
              <w:rPr>
                <w:color w:val="000000"/>
                <w:sz w:val="20"/>
                <w:szCs w:val="20"/>
                <w:lang w:val="en-MY" w:eastAsia="en-MY"/>
              </w:rPr>
            </w:pPr>
            <w:r w:rsidRPr="000055F3">
              <w:rPr>
                <w:color w:val="000000"/>
                <w:sz w:val="20"/>
                <w:szCs w:val="20"/>
                <w:lang w:val="en-MY" w:eastAsia="en-MY"/>
              </w:rPr>
              <w:t>Advocacy</w:t>
            </w:r>
          </w:p>
          <w:p w14:paraId="6511AC9F" w14:textId="77777777" w:rsidR="00BE5FFB" w:rsidRPr="000055F3" w:rsidRDefault="00BE5FFB" w:rsidP="00024DF1">
            <w:pPr>
              <w:rPr>
                <w:b/>
                <w:bCs/>
                <w:color w:val="000000"/>
                <w:sz w:val="20"/>
                <w:szCs w:val="20"/>
                <w:lang w:val="en-MY" w:eastAsia="en-MY"/>
              </w:rPr>
            </w:pPr>
          </w:p>
        </w:tc>
        <w:tc>
          <w:tcPr>
            <w:tcW w:w="3827" w:type="dxa"/>
            <w:shd w:val="clear" w:color="auto" w:fill="auto"/>
            <w:noWrap/>
          </w:tcPr>
          <w:p w14:paraId="7218379C" w14:textId="77777777" w:rsidR="00BE5FFB" w:rsidRPr="000055F3" w:rsidRDefault="00BE5FFB" w:rsidP="00024DF1">
            <w:pPr>
              <w:rPr>
                <w:color w:val="000000"/>
                <w:sz w:val="20"/>
                <w:szCs w:val="20"/>
                <w:lang w:val="en-MY" w:eastAsia="en-MY"/>
              </w:rPr>
            </w:pPr>
          </w:p>
          <w:p w14:paraId="261A526F" w14:textId="77777777" w:rsidR="00BE5FFB" w:rsidRPr="000055F3" w:rsidRDefault="00BE5FFB" w:rsidP="00024DF1">
            <w:pPr>
              <w:rPr>
                <w:color w:val="000000"/>
                <w:sz w:val="20"/>
                <w:szCs w:val="20"/>
                <w:lang w:val="en-MY" w:eastAsia="en-MY"/>
              </w:rPr>
            </w:pPr>
            <w:r w:rsidRPr="000055F3">
              <w:rPr>
                <w:color w:val="000000"/>
                <w:sz w:val="20"/>
                <w:szCs w:val="20"/>
                <w:lang w:val="en-MY" w:eastAsia="en-MY"/>
              </w:rPr>
              <w:t>Media Statement</w:t>
            </w:r>
          </w:p>
          <w:p w14:paraId="5AD9426A" w14:textId="77777777" w:rsidR="00BE5FFB" w:rsidRPr="000055F3" w:rsidRDefault="00BE5FFB" w:rsidP="00024DF1">
            <w:pPr>
              <w:rPr>
                <w:color w:val="000000"/>
                <w:sz w:val="20"/>
                <w:szCs w:val="20"/>
                <w:lang w:val="en-MY" w:eastAsia="en-MY"/>
              </w:rPr>
            </w:pPr>
          </w:p>
          <w:p w14:paraId="5BD5D165" w14:textId="4FA699FF" w:rsidR="00BE5FFB" w:rsidRPr="000055F3" w:rsidRDefault="00BE5FFB" w:rsidP="00024DF1">
            <w:pPr>
              <w:rPr>
                <w:color w:val="000000"/>
                <w:sz w:val="20"/>
                <w:szCs w:val="20"/>
                <w:lang w:val="en-MY" w:eastAsia="en-MY"/>
              </w:rPr>
            </w:pPr>
            <w:r w:rsidRPr="000055F3">
              <w:rPr>
                <w:color w:val="000000"/>
                <w:sz w:val="20"/>
                <w:szCs w:val="20"/>
                <w:lang w:val="en-MY" w:eastAsia="en-MY"/>
              </w:rPr>
              <w:t xml:space="preserve">RM1,000 x </w:t>
            </w:r>
            <w:r w:rsidR="00885921">
              <w:rPr>
                <w:color w:val="000000"/>
                <w:sz w:val="20"/>
                <w:szCs w:val="20"/>
                <w:lang w:val="en-MY" w:eastAsia="en-MY"/>
              </w:rPr>
              <w:t>1</w:t>
            </w:r>
            <w:r w:rsidRPr="000055F3">
              <w:rPr>
                <w:color w:val="000000"/>
                <w:sz w:val="20"/>
                <w:szCs w:val="20"/>
                <w:lang w:val="en-MY" w:eastAsia="en-MY"/>
              </w:rPr>
              <w:t xml:space="preserve"> media statemen</w:t>
            </w:r>
            <w:r w:rsidR="00F10845">
              <w:rPr>
                <w:color w:val="000000"/>
                <w:sz w:val="20"/>
                <w:szCs w:val="20"/>
                <w:lang w:val="en-MY" w:eastAsia="en-MY"/>
              </w:rPr>
              <w:t>t</w:t>
            </w:r>
          </w:p>
        </w:tc>
        <w:tc>
          <w:tcPr>
            <w:tcW w:w="1423" w:type="dxa"/>
            <w:shd w:val="clear" w:color="auto" w:fill="auto"/>
            <w:noWrap/>
            <w:vAlign w:val="center"/>
          </w:tcPr>
          <w:p w14:paraId="02F2C049" w14:textId="75997DEC" w:rsidR="00BE5FFB" w:rsidRPr="000055F3" w:rsidRDefault="00EF4F4C" w:rsidP="009E034A">
            <w:pPr>
              <w:pStyle w:val="ListParagraph"/>
              <w:ind w:left="0"/>
              <w:jc w:val="right"/>
              <w:rPr>
                <w:color w:val="000000"/>
                <w:sz w:val="20"/>
                <w:szCs w:val="20"/>
                <w:lang w:val="en-MY" w:eastAsia="en-MY"/>
              </w:rPr>
            </w:pPr>
            <w:r>
              <w:rPr>
                <w:color w:val="000000"/>
                <w:sz w:val="20"/>
                <w:szCs w:val="20"/>
                <w:lang w:val="en-MY" w:eastAsia="en-MY"/>
              </w:rPr>
              <w:t>1,000.00</w:t>
            </w:r>
          </w:p>
          <w:p w14:paraId="35C76C8A" w14:textId="77777777" w:rsidR="00BE5FFB" w:rsidRPr="000055F3" w:rsidRDefault="00BE5FFB" w:rsidP="009E034A">
            <w:pPr>
              <w:pStyle w:val="ListParagraph"/>
              <w:ind w:left="0"/>
              <w:jc w:val="right"/>
              <w:rPr>
                <w:color w:val="000000"/>
                <w:sz w:val="20"/>
                <w:szCs w:val="20"/>
                <w:lang w:val="en-MY" w:eastAsia="en-MY"/>
              </w:rPr>
            </w:pPr>
          </w:p>
        </w:tc>
        <w:tc>
          <w:tcPr>
            <w:tcW w:w="1346" w:type="dxa"/>
            <w:vMerge w:val="restart"/>
            <w:shd w:val="clear" w:color="auto" w:fill="auto"/>
            <w:noWrap/>
          </w:tcPr>
          <w:p w14:paraId="7CC5A588" w14:textId="4CD73985" w:rsidR="00BE5FFB" w:rsidRPr="000055F3" w:rsidRDefault="00885921" w:rsidP="009E034A">
            <w:pPr>
              <w:spacing w:before="240"/>
              <w:jc w:val="right"/>
              <w:rPr>
                <w:color w:val="000000"/>
                <w:sz w:val="20"/>
                <w:szCs w:val="20"/>
                <w:lang w:val="en-MY" w:eastAsia="en-MY"/>
              </w:rPr>
            </w:pPr>
            <w:r>
              <w:rPr>
                <w:color w:val="000000"/>
                <w:sz w:val="20"/>
                <w:szCs w:val="20"/>
                <w:lang w:val="en-MY" w:eastAsia="en-MY"/>
              </w:rPr>
              <w:t>8</w:t>
            </w:r>
            <w:r w:rsidR="009E034A">
              <w:rPr>
                <w:color w:val="000000"/>
                <w:sz w:val="20"/>
                <w:szCs w:val="20"/>
                <w:lang w:val="en-MY" w:eastAsia="en-MY"/>
              </w:rPr>
              <w:t>,</w:t>
            </w:r>
            <w:r w:rsidR="00564B48">
              <w:rPr>
                <w:color w:val="000000"/>
                <w:sz w:val="20"/>
                <w:szCs w:val="20"/>
                <w:lang w:val="en-MY" w:eastAsia="en-MY"/>
              </w:rPr>
              <w:t>25</w:t>
            </w:r>
            <w:r w:rsidR="009E034A">
              <w:rPr>
                <w:color w:val="000000"/>
                <w:sz w:val="20"/>
                <w:szCs w:val="20"/>
                <w:lang w:val="en-MY" w:eastAsia="en-MY"/>
              </w:rPr>
              <w:t>0.00</w:t>
            </w:r>
          </w:p>
        </w:tc>
      </w:tr>
      <w:tr w:rsidR="00BE5FFB" w:rsidRPr="000055F3" w14:paraId="474E333F" w14:textId="77777777" w:rsidTr="009E034A">
        <w:trPr>
          <w:trHeight w:val="1649"/>
        </w:trPr>
        <w:tc>
          <w:tcPr>
            <w:tcW w:w="704" w:type="dxa"/>
            <w:vMerge/>
            <w:shd w:val="clear" w:color="auto" w:fill="auto"/>
            <w:noWrap/>
          </w:tcPr>
          <w:p w14:paraId="6490A01C" w14:textId="77777777" w:rsidR="00BE5FFB" w:rsidRPr="000055F3" w:rsidRDefault="00BE5FFB" w:rsidP="00024DF1">
            <w:pPr>
              <w:spacing w:before="240"/>
              <w:jc w:val="center"/>
              <w:rPr>
                <w:color w:val="000000"/>
                <w:sz w:val="20"/>
                <w:szCs w:val="20"/>
                <w:lang w:val="en-MY" w:eastAsia="en-MY"/>
              </w:rPr>
            </w:pPr>
          </w:p>
        </w:tc>
        <w:tc>
          <w:tcPr>
            <w:tcW w:w="1701" w:type="dxa"/>
            <w:vMerge/>
          </w:tcPr>
          <w:p w14:paraId="1B5B4B69" w14:textId="77777777" w:rsidR="00BE5FFB" w:rsidRPr="000055F3" w:rsidRDefault="00BE5FFB" w:rsidP="00024DF1">
            <w:pPr>
              <w:spacing w:before="240"/>
              <w:rPr>
                <w:color w:val="000000"/>
                <w:sz w:val="20"/>
                <w:szCs w:val="20"/>
                <w:lang w:val="en-MY" w:eastAsia="en-MY"/>
              </w:rPr>
            </w:pPr>
          </w:p>
        </w:tc>
        <w:tc>
          <w:tcPr>
            <w:tcW w:w="3827" w:type="dxa"/>
            <w:shd w:val="clear" w:color="auto" w:fill="auto"/>
            <w:noWrap/>
          </w:tcPr>
          <w:p w14:paraId="1868AA94" w14:textId="1E9667BD" w:rsidR="00BE5FFB" w:rsidRPr="002F2A5D" w:rsidRDefault="00291967" w:rsidP="00024DF1">
            <w:pPr>
              <w:spacing w:before="240"/>
              <w:rPr>
                <w:sz w:val="20"/>
                <w:szCs w:val="20"/>
                <w:lang w:val="en-MY" w:eastAsia="en-MY"/>
              </w:rPr>
            </w:pPr>
            <w:r w:rsidRPr="002F2A5D">
              <w:rPr>
                <w:sz w:val="20"/>
                <w:szCs w:val="20"/>
                <w:lang w:val="en-MY" w:eastAsia="en-MY"/>
              </w:rPr>
              <w:t xml:space="preserve">TWGFC Initiatives and Activities </w:t>
            </w:r>
          </w:p>
          <w:p w14:paraId="69B7B49E" w14:textId="7A5A96B7" w:rsidR="00BE5FFB" w:rsidRPr="002F2A5D" w:rsidRDefault="00BE5FFB" w:rsidP="00024DF1">
            <w:pPr>
              <w:pStyle w:val="ListParagraph"/>
              <w:numPr>
                <w:ilvl w:val="0"/>
                <w:numId w:val="30"/>
              </w:numPr>
              <w:spacing w:line="276" w:lineRule="auto"/>
              <w:ind w:left="166" w:hanging="180"/>
              <w:contextualSpacing w:val="0"/>
              <w:rPr>
                <w:sz w:val="20"/>
                <w:szCs w:val="20"/>
                <w:lang w:val="en-MY" w:eastAsia="en-MY"/>
              </w:rPr>
            </w:pPr>
            <w:r w:rsidRPr="002F2A5D">
              <w:rPr>
                <w:sz w:val="20"/>
                <w:szCs w:val="20"/>
                <w:lang w:val="en-MY" w:eastAsia="en-MY"/>
              </w:rPr>
              <w:t xml:space="preserve">Fee for </w:t>
            </w:r>
            <w:r w:rsidR="00291967" w:rsidRPr="002F2A5D">
              <w:rPr>
                <w:sz w:val="20"/>
                <w:szCs w:val="20"/>
                <w:lang w:val="en-MY" w:eastAsia="en-MY"/>
              </w:rPr>
              <w:t>Rapporteur</w:t>
            </w:r>
          </w:p>
          <w:p w14:paraId="74EE7AC1" w14:textId="298D0045" w:rsidR="00BE5FFB" w:rsidRPr="002F2A5D" w:rsidRDefault="00BE5FFB" w:rsidP="00024DF1">
            <w:pPr>
              <w:pStyle w:val="ListParagraph"/>
              <w:spacing w:line="276" w:lineRule="auto"/>
              <w:ind w:left="166"/>
              <w:rPr>
                <w:sz w:val="20"/>
                <w:szCs w:val="20"/>
                <w:lang w:val="en-MY" w:eastAsia="en-MY"/>
              </w:rPr>
            </w:pPr>
            <w:r w:rsidRPr="002F2A5D">
              <w:rPr>
                <w:sz w:val="20"/>
                <w:szCs w:val="20"/>
                <w:lang w:val="en-MY" w:eastAsia="en-MY"/>
              </w:rPr>
              <w:t xml:space="preserve">RM100 x </w:t>
            </w:r>
            <w:r w:rsidR="00291967" w:rsidRPr="002F2A5D">
              <w:rPr>
                <w:sz w:val="20"/>
                <w:szCs w:val="20"/>
                <w:lang w:val="en-MY" w:eastAsia="en-MY"/>
              </w:rPr>
              <w:t>3</w:t>
            </w:r>
            <w:r w:rsidRPr="002F2A5D">
              <w:rPr>
                <w:sz w:val="20"/>
                <w:szCs w:val="20"/>
                <w:lang w:val="en-MY" w:eastAsia="en-MY"/>
              </w:rPr>
              <w:t>0 pages = RM</w:t>
            </w:r>
            <w:r w:rsidR="00291967" w:rsidRPr="002F2A5D">
              <w:rPr>
                <w:sz w:val="20"/>
                <w:szCs w:val="20"/>
                <w:lang w:val="en-MY" w:eastAsia="en-MY"/>
              </w:rPr>
              <w:t>3</w:t>
            </w:r>
            <w:r w:rsidRPr="002F2A5D">
              <w:rPr>
                <w:sz w:val="20"/>
                <w:szCs w:val="20"/>
                <w:lang w:val="en-MY" w:eastAsia="en-MY"/>
              </w:rPr>
              <w:t>000</w:t>
            </w:r>
          </w:p>
          <w:p w14:paraId="13A0A9BC" w14:textId="16D1F6C7" w:rsidR="00BE5FFB" w:rsidRPr="002F2A5D" w:rsidRDefault="00BE5FFB" w:rsidP="00024DF1">
            <w:pPr>
              <w:pStyle w:val="ListParagraph"/>
              <w:numPr>
                <w:ilvl w:val="0"/>
                <w:numId w:val="30"/>
              </w:numPr>
              <w:spacing w:line="276" w:lineRule="auto"/>
              <w:ind w:left="166" w:hanging="180"/>
              <w:contextualSpacing w:val="0"/>
              <w:rPr>
                <w:sz w:val="20"/>
                <w:szCs w:val="20"/>
                <w:lang w:val="en-MY" w:eastAsia="en-MY"/>
              </w:rPr>
            </w:pPr>
            <w:r w:rsidRPr="002F2A5D">
              <w:rPr>
                <w:sz w:val="20"/>
                <w:szCs w:val="20"/>
                <w:lang w:val="en-MY" w:eastAsia="en-MY"/>
              </w:rPr>
              <w:t>Facilitator</w:t>
            </w:r>
            <w:r w:rsidR="00F10845" w:rsidRPr="002F2A5D">
              <w:rPr>
                <w:sz w:val="20"/>
                <w:szCs w:val="20"/>
                <w:lang w:val="en-MY" w:eastAsia="en-MY"/>
              </w:rPr>
              <w:t xml:space="preserve"> </w:t>
            </w:r>
          </w:p>
          <w:p w14:paraId="7062CB9A" w14:textId="77777777" w:rsidR="00564B48" w:rsidRPr="002F2A5D" w:rsidRDefault="00BE5FFB" w:rsidP="00564B48">
            <w:pPr>
              <w:pStyle w:val="ListParagraph"/>
              <w:spacing w:before="240"/>
              <w:ind w:left="166"/>
              <w:rPr>
                <w:sz w:val="20"/>
                <w:szCs w:val="20"/>
                <w:lang w:val="en-MY" w:eastAsia="en-MY"/>
              </w:rPr>
            </w:pPr>
            <w:r w:rsidRPr="002F2A5D">
              <w:rPr>
                <w:sz w:val="20"/>
                <w:szCs w:val="20"/>
                <w:lang w:val="en-MY" w:eastAsia="en-MY"/>
              </w:rPr>
              <w:t>RM</w:t>
            </w:r>
            <w:r w:rsidR="00F12985" w:rsidRPr="002F2A5D">
              <w:rPr>
                <w:sz w:val="20"/>
                <w:szCs w:val="20"/>
                <w:lang w:val="en-MY" w:eastAsia="en-MY"/>
              </w:rPr>
              <w:t>2000</w:t>
            </w:r>
            <w:r w:rsidRPr="002F2A5D">
              <w:rPr>
                <w:sz w:val="20"/>
                <w:szCs w:val="20"/>
                <w:lang w:val="en-MY" w:eastAsia="en-MY"/>
              </w:rPr>
              <w:t xml:space="preserve"> x </w:t>
            </w:r>
            <w:r w:rsidR="00F12985" w:rsidRPr="002F2A5D">
              <w:rPr>
                <w:sz w:val="20"/>
                <w:szCs w:val="20"/>
                <w:lang w:val="en-MY" w:eastAsia="en-MY"/>
              </w:rPr>
              <w:t>2</w:t>
            </w:r>
            <w:r w:rsidRPr="002F2A5D">
              <w:rPr>
                <w:sz w:val="20"/>
                <w:szCs w:val="20"/>
                <w:lang w:val="en-MY" w:eastAsia="en-MY"/>
              </w:rPr>
              <w:t xml:space="preserve"> </w:t>
            </w:r>
            <w:r w:rsidR="00B26C31" w:rsidRPr="002F2A5D">
              <w:rPr>
                <w:sz w:val="20"/>
                <w:szCs w:val="20"/>
                <w:lang w:val="en-MY" w:eastAsia="en-MY"/>
              </w:rPr>
              <w:t>sessions</w:t>
            </w:r>
            <w:r w:rsidR="00F12985" w:rsidRPr="002F2A5D">
              <w:rPr>
                <w:sz w:val="20"/>
                <w:szCs w:val="20"/>
                <w:lang w:val="en-MY" w:eastAsia="en-MY"/>
              </w:rPr>
              <w:t xml:space="preserve"> </w:t>
            </w:r>
            <w:r w:rsidRPr="002F2A5D">
              <w:rPr>
                <w:sz w:val="20"/>
                <w:szCs w:val="20"/>
                <w:lang w:val="en-MY" w:eastAsia="en-MY"/>
              </w:rPr>
              <w:t>= RM</w:t>
            </w:r>
            <w:r w:rsidR="00F12985" w:rsidRPr="002F2A5D">
              <w:rPr>
                <w:sz w:val="20"/>
                <w:szCs w:val="20"/>
                <w:lang w:val="en-MY" w:eastAsia="en-MY"/>
              </w:rPr>
              <w:t>4</w:t>
            </w:r>
            <w:r w:rsidRPr="002F2A5D">
              <w:rPr>
                <w:sz w:val="20"/>
                <w:szCs w:val="20"/>
                <w:lang w:val="en-MY" w:eastAsia="en-MY"/>
              </w:rPr>
              <w:t>000</w:t>
            </w:r>
          </w:p>
          <w:p w14:paraId="159C3EC8" w14:textId="09851D33" w:rsidR="00564B48" w:rsidRPr="002F2A5D" w:rsidRDefault="00564B48" w:rsidP="00564B48">
            <w:pPr>
              <w:pStyle w:val="ListParagraph"/>
              <w:numPr>
                <w:ilvl w:val="0"/>
                <w:numId w:val="30"/>
              </w:numPr>
              <w:spacing w:before="240"/>
              <w:ind w:left="175" w:hanging="219"/>
              <w:rPr>
                <w:sz w:val="20"/>
                <w:szCs w:val="20"/>
                <w:lang w:val="en-MY" w:eastAsia="en-MY"/>
              </w:rPr>
            </w:pPr>
            <w:r w:rsidRPr="002F2A5D">
              <w:rPr>
                <w:sz w:val="20"/>
                <w:szCs w:val="20"/>
                <w:lang w:val="en-MY" w:eastAsia="en-MY"/>
              </w:rPr>
              <w:t xml:space="preserve">Administration </w:t>
            </w:r>
            <w:r w:rsidR="000960C3" w:rsidRPr="002F2A5D">
              <w:rPr>
                <w:sz w:val="20"/>
                <w:szCs w:val="20"/>
                <w:lang w:val="en-MY" w:eastAsia="en-MY"/>
              </w:rPr>
              <w:t xml:space="preserve"> </w:t>
            </w:r>
          </w:p>
        </w:tc>
        <w:tc>
          <w:tcPr>
            <w:tcW w:w="1423" w:type="dxa"/>
            <w:shd w:val="clear" w:color="auto" w:fill="auto"/>
            <w:noWrap/>
          </w:tcPr>
          <w:p w14:paraId="590083E2" w14:textId="77777777" w:rsidR="00BE5FFB" w:rsidRPr="002F2A5D" w:rsidRDefault="00BE5FFB" w:rsidP="009E034A">
            <w:pPr>
              <w:pStyle w:val="ListParagraph"/>
              <w:spacing w:before="240"/>
              <w:ind w:left="0"/>
              <w:jc w:val="right"/>
              <w:rPr>
                <w:sz w:val="20"/>
                <w:szCs w:val="20"/>
                <w:lang w:val="en-MY" w:eastAsia="en-MY"/>
              </w:rPr>
            </w:pPr>
          </w:p>
          <w:p w14:paraId="412937B1" w14:textId="77777777" w:rsidR="00BE5FFB" w:rsidRPr="002F2A5D" w:rsidRDefault="00F12985" w:rsidP="009E034A">
            <w:pPr>
              <w:pStyle w:val="ListParagraph"/>
              <w:spacing w:before="240"/>
              <w:ind w:left="0"/>
              <w:jc w:val="right"/>
              <w:rPr>
                <w:sz w:val="20"/>
                <w:szCs w:val="20"/>
                <w:lang w:val="en-MY" w:eastAsia="en-MY"/>
              </w:rPr>
            </w:pPr>
            <w:r w:rsidRPr="002F2A5D">
              <w:rPr>
                <w:sz w:val="20"/>
                <w:szCs w:val="20"/>
                <w:lang w:val="en-MY" w:eastAsia="en-MY"/>
              </w:rPr>
              <w:t>7</w:t>
            </w:r>
            <w:r w:rsidR="00291967" w:rsidRPr="002F2A5D">
              <w:rPr>
                <w:sz w:val="20"/>
                <w:szCs w:val="20"/>
                <w:lang w:val="en-MY" w:eastAsia="en-MY"/>
              </w:rPr>
              <w:t>,000.00</w:t>
            </w:r>
          </w:p>
          <w:p w14:paraId="723812FF" w14:textId="77777777" w:rsidR="00564B48" w:rsidRPr="002F2A5D" w:rsidRDefault="00564B48" w:rsidP="009E034A">
            <w:pPr>
              <w:pStyle w:val="ListParagraph"/>
              <w:spacing w:before="240"/>
              <w:ind w:left="0"/>
              <w:jc w:val="right"/>
              <w:rPr>
                <w:sz w:val="20"/>
                <w:szCs w:val="20"/>
                <w:lang w:val="en-MY" w:eastAsia="en-MY"/>
              </w:rPr>
            </w:pPr>
          </w:p>
          <w:p w14:paraId="14BA90DB" w14:textId="77777777" w:rsidR="00564B48" w:rsidRPr="002F2A5D" w:rsidRDefault="00564B48" w:rsidP="009E034A">
            <w:pPr>
              <w:pStyle w:val="ListParagraph"/>
              <w:spacing w:before="240"/>
              <w:ind w:left="0"/>
              <w:jc w:val="right"/>
              <w:rPr>
                <w:sz w:val="20"/>
                <w:szCs w:val="20"/>
                <w:lang w:val="en-MY" w:eastAsia="en-MY"/>
              </w:rPr>
            </w:pPr>
          </w:p>
          <w:p w14:paraId="33145E6B" w14:textId="77777777" w:rsidR="00564B48" w:rsidRPr="002F2A5D" w:rsidRDefault="00564B48" w:rsidP="009E034A">
            <w:pPr>
              <w:pStyle w:val="ListParagraph"/>
              <w:spacing w:before="240"/>
              <w:ind w:left="0"/>
              <w:jc w:val="right"/>
              <w:rPr>
                <w:sz w:val="20"/>
                <w:szCs w:val="20"/>
                <w:lang w:val="en-MY" w:eastAsia="en-MY"/>
              </w:rPr>
            </w:pPr>
          </w:p>
          <w:p w14:paraId="0598B427" w14:textId="77777777" w:rsidR="00564B48" w:rsidRPr="002F2A5D" w:rsidRDefault="00564B48" w:rsidP="009E034A">
            <w:pPr>
              <w:pStyle w:val="ListParagraph"/>
              <w:spacing w:before="240"/>
              <w:ind w:left="0"/>
              <w:jc w:val="right"/>
              <w:rPr>
                <w:sz w:val="20"/>
                <w:szCs w:val="20"/>
                <w:lang w:val="en-MY" w:eastAsia="en-MY"/>
              </w:rPr>
            </w:pPr>
          </w:p>
          <w:p w14:paraId="2124C968" w14:textId="77777777" w:rsidR="00564B48" w:rsidRPr="002F2A5D" w:rsidRDefault="00564B48" w:rsidP="009E034A">
            <w:pPr>
              <w:pStyle w:val="ListParagraph"/>
              <w:spacing w:before="240"/>
              <w:ind w:left="0"/>
              <w:jc w:val="right"/>
              <w:rPr>
                <w:sz w:val="20"/>
                <w:szCs w:val="20"/>
                <w:lang w:val="en-MY" w:eastAsia="en-MY"/>
              </w:rPr>
            </w:pPr>
          </w:p>
          <w:p w14:paraId="26213BF3" w14:textId="12018855" w:rsidR="00564B48" w:rsidRPr="002F2A5D" w:rsidRDefault="00564B48" w:rsidP="00564B48">
            <w:pPr>
              <w:pStyle w:val="ListParagraph"/>
              <w:spacing w:before="240"/>
              <w:ind w:left="0"/>
              <w:jc w:val="right"/>
              <w:rPr>
                <w:sz w:val="20"/>
                <w:szCs w:val="20"/>
                <w:lang w:val="en-MY" w:eastAsia="en-MY"/>
              </w:rPr>
            </w:pPr>
            <w:r w:rsidRPr="002F2A5D">
              <w:rPr>
                <w:sz w:val="20"/>
                <w:szCs w:val="20"/>
                <w:lang w:val="en-MY" w:eastAsia="en-MY"/>
              </w:rPr>
              <w:t>250.00</w:t>
            </w:r>
          </w:p>
        </w:tc>
        <w:tc>
          <w:tcPr>
            <w:tcW w:w="1346" w:type="dxa"/>
            <w:vMerge/>
            <w:shd w:val="clear" w:color="auto" w:fill="auto"/>
            <w:noWrap/>
          </w:tcPr>
          <w:p w14:paraId="6405A314" w14:textId="77777777" w:rsidR="00BE5FFB" w:rsidRPr="002F2A5D" w:rsidRDefault="00BE5FFB" w:rsidP="00024DF1">
            <w:pPr>
              <w:spacing w:before="240"/>
              <w:jc w:val="right"/>
              <w:rPr>
                <w:sz w:val="20"/>
                <w:szCs w:val="20"/>
                <w:lang w:val="en-MY" w:eastAsia="en-MY"/>
              </w:rPr>
            </w:pPr>
          </w:p>
        </w:tc>
      </w:tr>
      <w:tr w:rsidR="001B15AC" w:rsidRPr="000055F3" w14:paraId="069B22B1" w14:textId="77777777" w:rsidTr="0097799D">
        <w:trPr>
          <w:trHeight w:val="1440"/>
        </w:trPr>
        <w:tc>
          <w:tcPr>
            <w:tcW w:w="704" w:type="dxa"/>
            <w:shd w:val="clear" w:color="auto" w:fill="auto"/>
            <w:noWrap/>
          </w:tcPr>
          <w:p w14:paraId="27A5F052" w14:textId="573F4117" w:rsidR="001B15AC" w:rsidRPr="000055F3" w:rsidRDefault="00291967" w:rsidP="00024DF1">
            <w:pPr>
              <w:spacing w:before="240"/>
              <w:rPr>
                <w:color w:val="000000"/>
                <w:sz w:val="20"/>
                <w:szCs w:val="20"/>
                <w:lang w:val="en-MY" w:eastAsia="en-MY"/>
              </w:rPr>
            </w:pPr>
            <w:r>
              <w:rPr>
                <w:color w:val="000000"/>
                <w:sz w:val="20"/>
                <w:szCs w:val="20"/>
                <w:lang w:val="en-MY" w:eastAsia="en-MY"/>
              </w:rPr>
              <w:t>2</w:t>
            </w:r>
            <w:r w:rsidR="001B15AC" w:rsidRPr="000055F3">
              <w:rPr>
                <w:color w:val="000000"/>
                <w:sz w:val="20"/>
                <w:szCs w:val="20"/>
                <w:lang w:val="en-MY" w:eastAsia="en-MY"/>
              </w:rPr>
              <w:t>.</w:t>
            </w:r>
          </w:p>
        </w:tc>
        <w:tc>
          <w:tcPr>
            <w:tcW w:w="1701" w:type="dxa"/>
          </w:tcPr>
          <w:p w14:paraId="240143F8" w14:textId="77777777" w:rsidR="001B15AC" w:rsidRPr="000055F3" w:rsidRDefault="001B15AC" w:rsidP="00024DF1">
            <w:pPr>
              <w:spacing w:before="240"/>
              <w:rPr>
                <w:color w:val="000000"/>
                <w:sz w:val="20"/>
                <w:szCs w:val="20"/>
                <w:lang w:val="en-MY" w:eastAsia="en-MY"/>
              </w:rPr>
            </w:pPr>
            <w:r w:rsidRPr="000055F3">
              <w:rPr>
                <w:color w:val="000000"/>
                <w:sz w:val="20"/>
                <w:szCs w:val="20"/>
                <w:lang w:val="en-MY" w:eastAsia="en-MY"/>
              </w:rPr>
              <w:t>Advisory</w:t>
            </w:r>
          </w:p>
        </w:tc>
        <w:tc>
          <w:tcPr>
            <w:tcW w:w="3827" w:type="dxa"/>
            <w:shd w:val="clear" w:color="auto" w:fill="auto"/>
            <w:noWrap/>
          </w:tcPr>
          <w:p w14:paraId="680500E1" w14:textId="2BA5F442" w:rsidR="00564B48" w:rsidRPr="002F2A5D" w:rsidRDefault="001B15AC" w:rsidP="00564B48">
            <w:pPr>
              <w:spacing w:before="240"/>
              <w:rPr>
                <w:sz w:val="20"/>
                <w:szCs w:val="20"/>
                <w:lang w:val="en-MY" w:eastAsia="en-MY"/>
              </w:rPr>
            </w:pPr>
            <w:r w:rsidRPr="002F2A5D">
              <w:rPr>
                <w:sz w:val="20"/>
                <w:szCs w:val="20"/>
                <w:lang w:val="en-MY" w:eastAsia="en-MY"/>
              </w:rPr>
              <w:t>Hiring of SMEs to share knowledge and experience</w:t>
            </w:r>
            <w:r w:rsidR="009E034A" w:rsidRPr="002F2A5D">
              <w:rPr>
                <w:sz w:val="20"/>
                <w:szCs w:val="20"/>
                <w:lang w:val="en-MY" w:eastAsia="en-MY"/>
              </w:rPr>
              <w:t xml:space="preserve"> </w:t>
            </w:r>
            <w:r w:rsidR="00564B48" w:rsidRPr="002F2A5D">
              <w:rPr>
                <w:sz w:val="20"/>
                <w:szCs w:val="20"/>
                <w:lang w:val="en-MY" w:eastAsia="en-MY"/>
              </w:rPr>
              <w:t>on selected topic proposed</w:t>
            </w:r>
          </w:p>
          <w:p w14:paraId="5BEF2B5D" w14:textId="684CDE9C" w:rsidR="009E034A" w:rsidRPr="002F2A5D" w:rsidRDefault="009E034A" w:rsidP="00564B48">
            <w:pPr>
              <w:spacing w:before="240"/>
              <w:rPr>
                <w:sz w:val="20"/>
                <w:szCs w:val="20"/>
                <w:lang w:val="en-MY" w:eastAsia="en-MY"/>
              </w:rPr>
            </w:pPr>
            <w:r w:rsidRPr="002F2A5D">
              <w:rPr>
                <w:sz w:val="20"/>
                <w:szCs w:val="20"/>
                <w:lang w:val="en-MY" w:eastAsia="en-MY"/>
              </w:rPr>
              <w:t xml:space="preserve">RM400 x </w:t>
            </w:r>
            <w:r w:rsidR="00BD2439" w:rsidRPr="002F2A5D">
              <w:rPr>
                <w:sz w:val="20"/>
                <w:szCs w:val="20"/>
                <w:lang w:val="en-MY" w:eastAsia="en-MY"/>
              </w:rPr>
              <w:t>4</w:t>
            </w:r>
            <w:r w:rsidRPr="002F2A5D">
              <w:rPr>
                <w:sz w:val="20"/>
                <w:szCs w:val="20"/>
                <w:lang w:val="en-MY" w:eastAsia="en-MY"/>
              </w:rPr>
              <w:t xml:space="preserve"> hours = RM</w:t>
            </w:r>
            <w:r w:rsidR="008E5F77" w:rsidRPr="002F2A5D">
              <w:rPr>
                <w:sz w:val="20"/>
                <w:szCs w:val="20"/>
                <w:lang w:val="en-MY" w:eastAsia="en-MY"/>
              </w:rPr>
              <w:t>16</w:t>
            </w:r>
            <w:r w:rsidRPr="002F2A5D">
              <w:rPr>
                <w:sz w:val="20"/>
                <w:szCs w:val="20"/>
                <w:lang w:val="en-MY" w:eastAsia="en-MY"/>
              </w:rPr>
              <w:t>00</w:t>
            </w:r>
          </w:p>
        </w:tc>
        <w:tc>
          <w:tcPr>
            <w:tcW w:w="1423" w:type="dxa"/>
            <w:shd w:val="clear" w:color="auto" w:fill="auto"/>
            <w:noWrap/>
          </w:tcPr>
          <w:p w14:paraId="015F8806" w14:textId="08B22E25" w:rsidR="001B15AC" w:rsidRPr="002F2A5D" w:rsidRDefault="009E034A" w:rsidP="00024DF1">
            <w:pPr>
              <w:pStyle w:val="ListParagraph"/>
              <w:spacing w:before="240"/>
              <w:ind w:left="-14"/>
              <w:jc w:val="right"/>
              <w:rPr>
                <w:sz w:val="20"/>
                <w:szCs w:val="20"/>
                <w:lang w:val="en-MY" w:eastAsia="en-MY"/>
              </w:rPr>
            </w:pPr>
            <w:r w:rsidRPr="002F2A5D">
              <w:rPr>
                <w:sz w:val="20"/>
                <w:szCs w:val="20"/>
                <w:lang w:val="en-MY" w:eastAsia="en-MY"/>
              </w:rPr>
              <w:t>1,600.00</w:t>
            </w:r>
          </w:p>
        </w:tc>
        <w:tc>
          <w:tcPr>
            <w:tcW w:w="1346" w:type="dxa"/>
            <w:shd w:val="clear" w:color="auto" w:fill="auto"/>
            <w:noWrap/>
          </w:tcPr>
          <w:p w14:paraId="48F1FD9C" w14:textId="1376708A" w:rsidR="001B15AC" w:rsidRPr="002F2A5D" w:rsidRDefault="009E034A" w:rsidP="00024DF1">
            <w:pPr>
              <w:spacing w:before="240"/>
              <w:jc w:val="right"/>
              <w:rPr>
                <w:sz w:val="20"/>
                <w:szCs w:val="20"/>
                <w:lang w:val="en-MY" w:eastAsia="en-MY"/>
              </w:rPr>
            </w:pPr>
            <w:r w:rsidRPr="002F2A5D">
              <w:rPr>
                <w:sz w:val="20"/>
                <w:szCs w:val="20"/>
                <w:lang w:val="en-MY" w:eastAsia="en-MY"/>
              </w:rPr>
              <w:t>1,600.00</w:t>
            </w:r>
          </w:p>
        </w:tc>
      </w:tr>
      <w:tr w:rsidR="0097799D" w:rsidRPr="000055F3" w14:paraId="2ECA8720" w14:textId="77777777" w:rsidTr="0097799D">
        <w:trPr>
          <w:trHeight w:val="864"/>
        </w:trPr>
        <w:tc>
          <w:tcPr>
            <w:tcW w:w="704" w:type="dxa"/>
            <w:shd w:val="clear" w:color="auto" w:fill="auto"/>
            <w:noWrap/>
          </w:tcPr>
          <w:p w14:paraId="61496525" w14:textId="6E949462" w:rsidR="0097799D" w:rsidRPr="000055F3" w:rsidRDefault="009E034A" w:rsidP="00024DF1">
            <w:pPr>
              <w:spacing w:before="240"/>
              <w:rPr>
                <w:color w:val="000000"/>
                <w:sz w:val="20"/>
                <w:szCs w:val="20"/>
                <w:lang w:val="en-MY" w:eastAsia="en-MY"/>
              </w:rPr>
            </w:pPr>
            <w:r>
              <w:rPr>
                <w:color w:val="000000"/>
                <w:sz w:val="20"/>
                <w:szCs w:val="20"/>
                <w:lang w:val="en-MY" w:eastAsia="en-MY"/>
              </w:rPr>
              <w:t>3</w:t>
            </w:r>
          </w:p>
        </w:tc>
        <w:tc>
          <w:tcPr>
            <w:tcW w:w="1701" w:type="dxa"/>
          </w:tcPr>
          <w:p w14:paraId="28D5E0C5" w14:textId="1003978D" w:rsidR="0097799D" w:rsidRPr="000055F3" w:rsidRDefault="009E034A" w:rsidP="00024DF1">
            <w:pPr>
              <w:spacing w:before="240"/>
              <w:rPr>
                <w:b/>
                <w:bCs/>
                <w:color w:val="000000"/>
                <w:sz w:val="20"/>
                <w:szCs w:val="20"/>
                <w:lang w:val="en-MY" w:eastAsia="en-MY"/>
              </w:rPr>
            </w:pPr>
            <w:r>
              <w:rPr>
                <w:b/>
                <w:bCs/>
                <w:color w:val="000000"/>
                <w:sz w:val="20"/>
                <w:szCs w:val="20"/>
                <w:lang w:val="en-MY" w:eastAsia="en-MY"/>
              </w:rPr>
              <w:t xml:space="preserve">Coordination </w:t>
            </w:r>
          </w:p>
        </w:tc>
        <w:tc>
          <w:tcPr>
            <w:tcW w:w="3827" w:type="dxa"/>
            <w:shd w:val="clear" w:color="auto" w:fill="auto"/>
            <w:noWrap/>
          </w:tcPr>
          <w:p w14:paraId="02421FDF" w14:textId="77777777" w:rsidR="005C65EA" w:rsidRDefault="0097799D" w:rsidP="00024DF1">
            <w:pPr>
              <w:pStyle w:val="Default"/>
              <w:spacing w:before="240"/>
              <w:rPr>
                <w:sz w:val="20"/>
                <w:szCs w:val="20"/>
              </w:rPr>
            </w:pPr>
            <w:r w:rsidRPr="000055F3">
              <w:rPr>
                <w:sz w:val="20"/>
                <w:szCs w:val="20"/>
              </w:rPr>
              <w:t xml:space="preserve">Engagements with </w:t>
            </w:r>
            <w:r w:rsidR="009E034A">
              <w:rPr>
                <w:sz w:val="20"/>
                <w:szCs w:val="20"/>
              </w:rPr>
              <w:t>TWGFC stakeholders</w:t>
            </w:r>
          </w:p>
          <w:p w14:paraId="301CAB07" w14:textId="3DCD4FF4" w:rsidR="0097799D" w:rsidRPr="000055F3" w:rsidRDefault="005C65EA" w:rsidP="00024DF1">
            <w:pPr>
              <w:pStyle w:val="Default"/>
              <w:spacing w:before="240"/>
              <w:rPr>
                <w:sz w:val="20"/>
                <w:szCs w:val="20"/>
              </w:rPr>
            </w:pPr>
            <w:r>
              <w:rPr>
                <w:sz w:val="20"/>
                <w:szCs w:val="20"/>
              </w:rPr>
              <w:t>(Meeting Packages)</w:t>
            </w:r>
          </w:p>
          <w:p w14:paraId="017E1B46" w14:textId="069151B4" w:rsidR="0097799D" w:rsidRPr="000055F3" w:rsidRDefault="001046A8" w:rsidP="00024DF1">
            <w:pPr>
              <w:pStyle w:val="Default"/>
              <w:spacing w:before="240"/>
              <w:rPr>
                <w:sz w:val="20"/>
                <w:szCs w:val="20"/>
              </w:rPr>
            </w:pPr>
            <w:r>
              <w:rPr>
                <w:sz w:val="20"/>
                <w:szCs w:val="20"/>
              </w:rPr>
              <w:t>(</w:t>
            </w:r>
            <w:r w:rsidR="0097799D" w:rsidRPr="000055F3">
              <w:rPr>
                <w:sz w:val="20"/>
                <w:szCs w:val="20"/>
              </w:rPr>
              <w:t>RM</w:t>
            </w:r>
            <w:r w:rsidR="00BD2439">
              <w:rPr>
                <w:sz w:val="20"/>
                <w:szCs w:val="20"/>
              </w:rPr>
              <w:t>50</w:t>
            </w:r>
            <w:r w:rsidR="005C65EA">
              <w:rPr>
                <w:sz w:val="20"/>
                <w:szCs w:val="20"/>
              </w:rPr>
              <w:t>00</w:t>
            </w:r>
            <w:r w:rsidR="0097799D" w:rsidRPr="000055F3">
              <w:rPr>
                <w:sz w:val="20"/>
                <w:szCs w:val="20"/>
              </w:rPr>
              <w:t xml:space="preserve"> x </w:t>
            </w:r>
            <w:r w:rsidR="005C65EA">
              <w:rPr>
                <w:sz w:val="20"/>
                <w:szCs w:val="20"/>
              </w:rPr>
              <w:t>2</w:t>
            </w:r>
            <w:r w:rsidR="0097799D" w:rsidRPr="000055F3">
              <w:rPr>
                <w:sz w:val="20"/>
                <w:szCs w:val="20"/>
              </w:rPr>
              <w:t xml:space="preserve"> sessions</w:t>
            </w:r>
            <w:r>
              <w:rPr>
                <w:sz w:val="20"/>
                <w:szCs w:val="20"/>
              </w:rPr>
              <w:t>)</w:t>
            </w:r>
          </w:p>
        </w:tc>
        <w:tc>
          <w:tcPr>
            <w:tcW w:w="1423" w:type="dxa"/>
            <w:shd w:val="clear" w:color="auto" w:fill="auto"/>
            <w:noWrap/>
          </w:tcPr>
          <w:p w14:paraId="4EEA963D" w14:textId="059DCFE3" w:rsidR="0097799D" w:rsidRPr="000055F3" w:rsidRDefault="00BD2439" w:rsidP="00024DF1">
            <w:pPr>
              <w:pStyle w:val="ListParagraph"/>
              <w:spacing w:before="240"/>
              <w:ind w:left="-14"/>
              <w:jc w:val="right"/>
              <w:rPr>
                <w:color w:val="000000"/>
                <w:sz w:val="20"/>
                <w:szCs w:val="20"/>
                <w:lang w:val="en-MY" w:eastAsia="en-MY"/>
              </w:rPr>
            </w:pPr>
            <w:r>
              <w:rPr>
                <w:color w:val="000000"/>
                <w:sz w:val="20"/>
                <w:szCs w:val="20"/>
                <w:lang w:val="en-MY" w:eastAsia="en-MY"/>
              </w:rPr>
              <w:t>10</w:t>
            </w:r>
            <w:r w:rsidR="005C65EA">
              <w:rPr>
                <w:color w:val="000000"/>
                <w:sz w:val="20"/>
                <w:szCs w:val="20"/>
                <w:lang w:val="en-MY" w:eastAsia="en-MY"/>
              </w:rPr>
              <w:t>,</w:t>
            </w:r>
            <w:r>
              <w:rPr>
                <w:color w:val="000000"/>
                <w:sz w:val="20"/>
                <w:szCs w:val="20"/>
                <w:lang w:val="en-MY" w:eastAsia="en-MY"/>
              </w:rPr>
              <w:t>0</w:t>
            </w:r>
            <w:r w:rsidR="005C65EA">
              <w:rPr>
                <w:color w:val="000000"/>
                <w:sz w:val="20"/>
                <w:szCs w:val="20"/>
                <w:lang w:val="en-MY" w:eastAsia="en-MY"/>
              </w:rPr>
              <w:t>00.00</w:t>
            </w:r>
          </w:p>
        </w:tc>
        <w:tc>
          <w:tcPr>
            <w:tcW w:w="1346" w:type="dxa"/>
            <w:shd w:val="clear" w:color="auto" w:fill="auto"/>
            <w:noWrap/>
          </w:tcPr>
          <w:p w14:paraId="46D9DB9A" w14:textId="6866311D" w:rsidR="0097799D" w:rsidRPr="000055F3" w:rsidRDefault="00BD2439" w:rsidP="005C65EA">
            <w:pPr>
              <w:spacing w:before="240"/>
              <w:jc w:val="right"/>
              <w:rPr>
                <w:color w:val="000000"/>
                <w:sz w:val="20"/>
                <w:szCs w:val="20"/>
                <w:lang w:val="en-MY" w:eastAsia="en-MY"/>
              </w:rPr>
            </w:pPr>
            <w:r>
              <w:rPr>
                <w:color w:val="000000"/>
                <w:sz w:val="20"/>
                <w:szCs w:val="20"/>
                <w:lang w:val="en-MY" w:eastAsia="en-MY"/>
              </w:rPr>
              <w:t>10</w:t>
            </w:r>
            <w:r w:rsidR="005C65EA">
              <w:rPr>
                <w:color w:val="000000"/>
                <w:sz w:val="20"/>
                <w:szCs w:val="20"/>
                <w:lang w:val="en-MY" w:eastAsia="en-MY"/>
              </w:rPr>
              <w:t>,</w:t>
            </w:r>
            <w:r>
              <w:rPr>
                <w:color w:val="000000"/>
                <w:sz w:val="20"/>
                <w:szCs w:val="20"/>
                <w:lang w:val="en-MY" w:eastAsia="en-MY"/>
              </w:rPr>
              <w:t>0</w:t>
            </w:r>
            <w:r w:rsidR="005C65EA">
              <w:rPr>
                <w:color w:val="000000"/>
                <w:sz w:val="20"/>
                <w:szCs w:val="20"/>
                <w:lang w:val="en-MY" w:eastAsia="en-MY"/>
              </w:rPr>
              <w:t>00.00</w:t>
            </w:r>
          </w:p>
        </w:tc>
      </w:tr>
      <w:tr w:rsidR="001B15AC" w:rsidRPr="000055F3" w14:paraId="2F2E7793" w14:textId="77777777" w:rsidTr="00D61147">
        <w:trPr>
          <w:trHeight w:val="432"/>
        </w:trPr>
        <w:tc>
          <w:tcPr>
            <w:tcW w:w="7655" w:type="dxa"/>
            <w:gridSpan w:val="4"/>
            <w:shd w:val="clear" w:color="auto" w:fill="A6A6A6" w:themeFill="background1" w:themeFillShade="A6"/>
            <w:noWrap/>
            <w:vAlign w:val="center"/>
          </w:tcPr>
          <w:p w14:paraId="7AEF1D75" w14:textId="77777777" w:rsidR="001B15AC" w:rsidRPr="000055F3" w:rsidRDefault="001B15AC" w:rsidP="00024DF1">
            <w:pPr>
              <w:jc w:val="center"/>
              <w:rPr>
                <w:color w:val="000000"/>
                <w:sz w:val="20"/>
                <w:szCs w:val="20"/>
                <w:lang w:val="en-MY" w:eastAsia="en-MY"/>
              </w:rPr>
            </w:pPr>
            <w:r w:rsidRPr="000055F3">
              <w:rPr>
                <w:b/>
                <w:bCs/>
                <w:color w:val="000000"/>
                <w:sz w:val="20"/>
                <w:szCs w:val="20"/>
                <w:lang w:val="en-MY" w:eastAsia="en-MY"/>
              </w:rPr>
              <w:t>TOTAL</w:t>
            </w:r>
          </w:p>
        </w:tc>
        <w:tc>
          <w:tcPr>
            <w:tcW w:w="1346" w:type="dxa"/>
            <w:shd w:val="clear" w:color="auto" w:fill="A6A6A6" w:themeFill="background1" w:themeFillShade="A6"/>
            <w:noWrap/>
            <w:vAlign w:val="center"/>
          </w:tcPr>
          <w:p w14:paraId="424A15AD" w14:textId="03954FFA" w:rsidR="001B15AC" w:rsidRPr="000055F3" w:rsidRDefault="005C65EA" w:rsidP="00024DF1">
            <w:pPr>
              <w:jc w:val="right"/>
              <w:rPr>
                <w:color w:val="000000"/>
                <w:sz w:val="20"/>
                <w:szCs w:val="20"/>
                <w:lang w:val="en-MY" w:eastAsia="en-MY"/>
              </w:rPr>
            </w:pPr>
            <w:r>
              <w:rPr>
                <w:b/>
                <w:bCs/>
                <w:color w:val="000000"/>
                <w:sz w:val="20"/>
                <w:szCs w:val="20"/>
                <w:lang w:val="en-MY" w:eastAsia="en-MY"/>
              </w:rPr>
              <w:t>1</w:t>
            </w:r>
            <w:r w:rsidR="00513C2F">
              <w:rPr>
                <w:b/>
                <w:bCs/>
                <w:color w:val="000000"/>
                <w:sz w:val="20"/>
                <w:szCs w:val="20"/>
                <w:lang w:val="en-MY" w:eastAsia="en-MY"/>
              </w:rPr>
              <w:t>9</w:t>
            </w:r>
            <w:r>
              <w:rPr>
                <w:b/>
                <w:bCs/>
                <w:color w:val="000000"/>
                <w:sz w:val="20"/>
                <w:szCs w:val="20"/>
                <w:lang w:val="en-MY" w:eastAsia="en-MY"/>
              </w:rPr>
              <w:t>,</w:t>
            </w:r>
            <w:r w:rsidR="00564B48">
              <w:rPr>
                <w:b/>
                <w:bCs/>
                <w:color w:val="000000"/>
                <w:sz w:val="20"/>
                <w:szCs w:val="20"/>
                <w:lang w:val="en-MY" w:eastAsia="en-MY"/>
              </w:rPr>
              <w:t>850</w:t>
            </w:r>
            <w:r>
              <w:rPr>
                <w:b/>
                <w:bCs/>
                <w:color w:val="000000"/>
                <w:sz w:val="20"/>
                <w:szCs w:val="20"/>
                <w:lang w:val="en-MY" w:eastAsia="en-MY"/>
              </w:rPr>
              <w:t>.00</w:t>
            </w:r>
          </w:p>
        </w:tc>
      </w:tr>
    </w:tbl>
    <w:p w14:paraId="779D79CF" w14:textId="77777777" w:rsidR="001B15AC" w:rsidRDefault="001B15AC" w:rsidP="008C7CBE">
      <w:pPr>
        <w:spacing w:line="276" w:lineRule="auto"/>
      </w:pPr>
    </w:p>
    <w:p w14:paraId="62D2147E" w14:textId="705E54CD" w:rsidR="001B15AC" w:rsidRDefault="001B15AC"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0881285A" w:rsidR="001635BA" w:rsidRDefault="001635BA" w:rsidP="001635BA">
      <w:pPr>
        <w:spacing w:line="276" w:lineRule="auto"/>
      </w:pPr>
    </w:p>
    <w:p w14:paraId="5DF5AD9B" w14:textId="3511F3E4" w:rsidR="005C65EA" w:rsidRDefault="005C65EA" w:rsidP="001635BA">
      <w:pPr>
        <w:spacing w:line="276" w:lineRule="auto"/>
      </w:pPr>
    </w:p>
    <w:p w14:paraId="0CC650D7" w14:textId="46ACEBEE" w:rsidR="005C65EA" w:rsidRDefault="005C65EA" w:rsidP="001635BA">
      <w:pPr>
        <w:spacing w:line="276" w:lineRule="auto"/>
      </w:pPr>
    </w:p>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lastRenderedPageBreak/>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7ECDED3C" w:rsidR="00CE0E44" w:rsidRPr="00CE0E44" w:rsidRDefault="00513C2F" w:rsidP="00CE0E44">
            <w:pPr>
              <w:spacing w:line="276" w:lineRule="auto"/>
              <w:rPr>
                <w:rFonts w:eastAsia="MS Mincho"/>
              </w:rPr>
            </w:pPr>
            <w:r>
              <w:rPr>
                <w:rFonts w:eastAsia="MS Mincho"/>
              </w:rPr>
              <w:t>7</w:t>
            </w:r>
            <w:r w:rsidR="00CE0E44">
              <w:rPr>
                <w:rFonts w:eastAsia="MS Mincho"/>
              </w:rPr>
              <w:t xml:space="preserve"> </w:t>
            </w:r>
            <w:r>
              <w:rPr>
                <w:rFonts w:eastAsia="MS Mincho"/>
              </w:rPr>
              <w:t xml:space="preserve">July </w:t>
            </w:r>
            <w:r w:rsidR="00CE0E44">
              <w:rPr>
                <w:rFonts w:eastAsia="MS Mincho"/>
              </w:rPr>
              <w:t>2022</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7C7290AA" w:rsidR="00CE0E44" w:rsidRPr="00CE0E44" w:rsidRDefault="00513C2F" w:rsidP="00CE0E44">
            <w:pPr>
              <w:spacing w:line="276" w:lineRule="auto"/>
              <w:rPr>
                <w:rFonts w:eastAsia="MS Mincho"/>
              </w:rPr>
            </w:pPr>
            <w:r>
              <w:rPr>
                <w:rFonts w:eastAsia="MS Mincho"/>
              </w:rPr>
              <w:t>7</w:t>
            </w:r>
            <w:r w:rsidR="00CE0E44">
              <w:rPr>
                <w:rFonts w:eastAsia="MS Mincho"/>
              </w:rPr>
              <w:t xml:space="preserve"> </w:t>
            </w:r>
            <w:r>
              <w:rPr>
                <w:rFonts w:eastAsia="MS Mincho"/>
              </w:rPr>
              <w:t>July</w:t>
            </w:r>
            <w:r w:rsidR="00CE0E44">
              <w:rPr>
                <w:rFonts w:eastAsia="MS Mincho"/>
              </w:rPr>
              <w:t xml:space="preserve"> 2022</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0D80E135" w14:textId="03D062E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0B89E8D4" w:rsidR="00CE0E44" w:rsidRPr="00CE0E44" w:rsidRDefault="00513C2F" w:rsidP="00F00F99">
            <w:pPr>
              <w:rPr>
                <w:rFonts w:eastAsia="MS Mincho"/>
                <w:b/>
                <w:bCs/>
              </w:rPr>
            </w:pPr>
            <w:r>
              <w:rPr>
                <w:rFonts w:eastAsia="MS Mincho"/>
              </w:rPr>
              <w:t xml:space="preserve">7 July </w:t>
            </w:r>
            <w:r w:rsidR="00CE0E44">
              <w:rPr>
                <w:rFonts w:eastAsia="MS Mincho"/>
              </w:rPr>
              <w:t>2022</w:t>
            </w:r>
          </w:p>
        </w:tc>
      </w:tr>
      <w:bookmarkEnd w:id="1"/>
    </w:tbl>
    <w:p w14:paraId="7F57ED27" w14:textId="35F7F798" w:rsidR="001C68B0" w:rsidRDefault="001C68B0" w:rsidP="00CE0E44"/>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8DC5" w14:textId="77777777" w:rsidR="00A543EE" w:rsidRDefault="00A543EE" w:rsidP="00965EDD">
      <w:r>
        <w:separator/>
      </w:r>
    </w:p>
  </w:endnote>
  <w:endnote w:type="continuationSeparator" w:id="0">
    <w:p w14:paraId="5900A194" w14:textId="77777777" w:rsidR="00A543EE" w:rsidRDefault="00A543EE"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7669" w14:textId="77777777" w:rsidR="00A543EE" w:rsidRDefault="00A543EE" w:rsidP="00965EDD">
      <w:r>
        <w:separator/>
      </w:r>
    </w:p>
  </w:footnote>
  <w:footnote w:type="continuationSeparator" w:id="0">
    <w:p w14:paraId="5A62D484" w14:textId="77777777" w:rsidR="00A543EE" w:rsidRDefault="00A543EE"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8"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9"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1"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2"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6"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17"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1"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2"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4" w15:restartNumberingAfterBreak="0">
    <w:nsid w:val="65D56C73"/>
    <w:multiLevelType w:val="hybridMultilevel"/>
    <w:tmpl w:val="2A00BE1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6"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8"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1"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5"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6"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15619470">
    <w:abstractNumId w:val="2"/>
  </w:num>
  <w:num w:numId="2" w16cid:durableId="1030034313">
    <w:abstractNumId w:val="36"/>
  </w:num>
  <w:num w:numId="3" w16cid:durableId="1690839546">
    <w:abstractNumId w:val="26"/>
  </w:num>
  <w:num w:numId="4" w16cid:durableId="235675504">
    <w:abstractNumId w:val="28"/>
  </w:num>
  <w:num w:numId="5" w16cid:durableId="1297829601">
    <w:abstractNumId w:val="23"/>
  </w:num>
  <w:num w:numId="6" w16cid:durableId="1788815212">
    <w:abstractNumId w:val="33"/>
  </w:num>
  <w:num w:numId="7" w16cid:durableId="1376589258">
    <w:abstractNumId w:val="10"/>
  </w:num>
  <w:num w:numId="8" w16cid:durableId="1751151390">
    <w:abstractNumId w:val="6"/>
  </w:num>
  <w:num w:numId="9" w16cid:durableId="73548840">
    <w:abstractNumId w:val="30"/>
  </w:num>
  <w:num w:numId="10" w16cid:durableId="164367032">
    <w:abstractNumId w:val="7"/>
  </w:num>
  <w:num w:numId="11" w16cid:durableId="796221474">
    <w:abstractNumId w:val="18"/>
  </w:num>
  <w:num w:numId="12" w16cid:durableId="2061901942">
    <w:abstractNumId w:val="31"/>
  </w:num>
  <w:num w:numId="13" w16cid:durableId="34357972">
    <w:abstractNumId w:val="35"/>
  </w:num>
  <w:num w:numId="14" w16cid:durableId="1639141052">
    <w:abstractNumId w:val="1"/>
  </w:num>
  <w:num w:numId="15" w16cid:durableId="679504468">
    <w:abstractNumId w:val="27"/>
  </w:num>
  <w:num w:numId="16" w16cid:durableId="1583023349">
    <w:abstractNumId w:val="20"/>
  </w:num>
  <w:num w:numId="17" w16cid:durableId="626469184">
    <w:abstractNumId w:val="13"/>
  </w:num>
  <w:num w:numId="18" w16cid:durableId="1842112871">
    <w:abstractNumId w:val="15"/>
  </w:num>
  <w:num w:numId="19" w16cid:durableId="353701379">
    <w:abstractNumId w:val="25"/>
  </w:num>
  <w:num w:numId="20" w16cid:durableId="398863065">
    <w:abstractNumId w:val="12"/>
  </w:num>
  <w:num w:numId="21" w16cid:durableId="1277178561">
    <w:abstractNumId w:val="21"/>
  </w:num>
  <w:num w:numId="22" w16cid:durableId="924607416">
    <w:abstractNumId w:val="19"/>
  </w:num>
  <w:num w:numId="23" w16cid:durableId="1331788418">
    <w:abstractNumId w:val="17"/>
  </w:num>
  <w:num w:numId="24" w16cid:durableId="1794014209">
    <w:abstractNumId w:val="8"/>
  </w:num>
  <w:num w:numId="25" w16cid:durableId="2108501915">
    <w:abstractNumId w:val="34"/>
  </w:num>
  <w:num w:numId="26" w16cid:durableId="216356273">
    <w:abstractNumId w:val="11"/>
  </w:num>
  <w:num w:numId="27" w16cid:durableId="1984385394">
    <w:abstractNumId w:val="14"/>
  </w:num>
  <w:num w:numId="28" w16cid:durableId="423066309">
    <w:abstractNumId w:val="32"/>
  </w:num>
  <w:num w:numId="29" w16cid:durableId="1348020336">
    <w:abstractNumId w:val="0"/>
  </w:num>
  <w:num w:numId="30" w16cid:durableId="1252811874">
    <w:abstractNumId w:val="24"/>
  </w:num>
  <w:num w:numId="31" w16cid:durableId="1041515646">
    <w:abstractNumId w:val="22"/>
  </w:num>
  <w:num w:numId="32" w16cid:durableId="93286136">
    <w:abstractNumId w:val="3"/>
  </w:num>
  <w:num w:numId="33" w16cid:durableId="712312239">
    <w:abstractNumId w:val="5"/>
  </w:num>
  <w:num w:numId="34" w16cid:durableId="166212502">
    <w:abstractNumId w:val="4"/>
  </w:num>
  <w:num w:numId="35" w16cid:durableId="1581790465">
    <w:abstractNumId w:val="9"/>
  </w:num>
  <w:num w:numId="36" w16cid:durableId="1260023474">
    <w:abstractNumId w:val="29"/>
  </w:num>
  <w:num w:numId="37" w16cid:durableId="1316909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4DF1"/>
    <w:rsid w:val="000465CD"/>
    <w:rsid w:val="00046FDF"/>
    <w:rsid w:val="000540B5"/>
    <w:rsid w:val="000540F4"/>
    <w:rsid w:val="000553F4"/>
    <w:rsid w:val="0006282E"/>
    <w:rsid w:val="00076063"/>
    <w:rsid w:val="000960C3"/>
    <w:rsid w:val="000A4496"/>
    <w:rsid w:val="000B6DD5"/>
    <w:rsid w:val="000C5830"/>
    <w:rsid w:val="000D0273"/>
    <w:rsid w:val="001046A8"/>
    <w:rsid w:val="00104DDD"/>
    <w:rsid w:val="00141084"/>
    <w:rsid w:val="001427C7"/>
    <w:rsid w:val="00150002"/>
    <w:rsid w:val="00161BDF"/>
    <w:rsid w:val="001635BA"/>
    <w:rsid w:val="00165368"/>
    <w:rsid w:val="00175663"/>
    <w:rsid w:val="0019234F"/>
    <w:rsid w:val="001A3EC1"/>
    <w:rsid w:val="001B15AC"/>
    <w:rsid w:val="001B5699"/>
    <w:rsid w:val="001C68B0"/>
    <w:rsid w:val="001E3CEA"/>
    <w:rsid w:val="001E7BAE"/>
    <w:rsid w:val="001F27B3"/>
    <w:rsid w:val="001F7FF8"/>
    <w:rsid w:val="00232962"/>
    <w:rsid w:val="00250A73"/>
    <w:rsid w:val="00271F40"/>
    <w:rsid w:val="0027447C"/>
    <w:rsid w:val="00291967"/>
    <w:rsid w:val="002A41F6"/>
    <w:rsid w:val="002C0288"/>
    <w:rsid w:val="002C070B"/>
    <w:rsid w:val="002E1447"/>
    <w:rsid w:val="002F0106"/>
    <w:rsid w:val="002F2A5D"/>
    <w:rsid w:val="002F3AFE"/>
    <w:rsid w:val="002F5513"/>
    <w:rsid w:val="00301EA6"/>
    <w:rsid w:val="00313B5F"/>
    <w:rsid w:val="00337DEC"/>
    <w:rsid w:val="00342089"/>
    <w:rsid w:val="003423EC"/>
    <w:rsid w:val="003429CD"/>
    <w:rsid w:val="0036378C"/>
    <w:rsid w:val="003737DD"/>
    <w:rsid w:val="003809EC"/>
    <w:rsid w:val="00397A41"/>
    <w:rsid w:val="003E5526"/>
    <w:rsid w:val="003F60BC"/>
    <w:rsid w:val="0042080A"/>
    <w:rsid w:val="00423D97"/>
    <w:rsid w:val="00425FF5"/>
    <w:rsid w:val="00433410"/>
    <w:rsid w:val="0045153B"/>
    <w:rsid w:val="004524D4"/>
    <w:rsid w:val="00474AEB"/>
    <w:rsid w:val="00495BE5"/>
    <w:rsid w:val="00496715"/>
    <w:rsid w:val="004A106D"/>
    <w:rsid w:val="004A3E34"/>
    <w:rsid w:val="004A5E6C"/>
    <w:rsid w:val="004B497F"/>
    <w:rsid w:val="004F3B99"/>
    <w:rsid w:val="00501DD9"/>
    <w:rsid w:val="00513C2F"/>
    <w:rsid w:val="0054466C"/>
    <w:rsid w:val="00554E3B"/>
    <w:rsid w:val="00564B48"/>
    <w:rsid w:val="0057513D"/>
    <w:rsid w:val="0057654C"/>
    <w:rsid w:val="0057666C"/>
    <w:rsid w:val="0058002D"/>
    <w:rsid w:val="00584848"/>
    <w:rsid w:val="005B20C7"/>
    <w:rsid w:val="005B483F"/>
    <w:rsid w:val="005B5AC4"/>
    <w:rsid w:val="005C65EA"/>
    <w:rsid w:val="005C6F87"/>
    <w:rsid w:val="005D5DA6"/>
    <w:rsid w:val="005E2649"/>
    <w:rsid w:val="00610518"/>
    <w:rsid w:val="00615E5D"/>
    <w:rsid w:val="006412B7"/>
    <w:rsid w:val="00644069"/>
    <w:rsid w:val="00646FB2"/>
    <w:rsid w:val="0065760C"/>
    <w:rsid w:val="0066761C"/>
    <w:rsid w:val="006809D7"/>
    <w:rsid w:val="006969F7"/>
    <w:rsid w:val="00697C0B"/>
    <w:rsid w:val="006A23D6"/>
    <w:rsid w:val="006A68CD"/>
    <w:rsid w:val="006C5E8D"/>
    <w:rsid w:val="006D457B"/>
    <w:rsid w:val="006E2CE1"/>
    <w:rsid w:val="006F1263"/>
    <w:rsid w:val="006F6DD6"/>
    <w:rsid w:val="006F7655"/>
    <w:rsid w:val="00711BF8"/>
    <w:rsid w:val="00754AE3"/>
    <w:rsid w:val="0075572A"/>
    <w:rsid w:val="00766C25"/>
    <w:rsid w:val="00773B4B"/>
    <w:rsid w:val="0078226F"/>
    <w:rsid w:val="007835C0"/>
    <w:rsid w:val="007861B6"/>
    <w:rsid w:val="007928BE"/>
    <w:rsid w:val="00795369"/>
    <w:rsid w:val="0079576F"/>
    <w:rsid w:val="007B1650"/>
    <w:rsid w:val="007C0358"/>
    <w:rsid w:val="007C29C5"/>
    <w:rsid w:val="007C5DF8"/>
    <w:rsid w:val="007D126F"/>
    <w:rsid w:val="007D6403"/>
    <w:rsid w:val="007D669F"/>
    <w:rsid w:val="007D7FD9"/>
    <w:rsid w:val="007E2BAE"/>
    <w:rsid w:val="007F2466"/>
    <w:rsid w:val="007F74B5"/>
    <w:rsid w:val="00830EA7"/>
    <w:rsid w:val="00841F1C"/>
    <w:rsid w:val="008432BD"/>
    <w:rsid w:val="0085037D"/>
    <w:rsid w:val="00856EB6"/>
    <w:rsid w:val="008702FD"/>
    <w:rsid w:val="00885921"/>
    <w:rsid w:val="008C7CBE"/>
    <w:rsid w:val="008E0C07"/>
    <w:rsid w:val="008E5F77"/>
    <w:rsid w:val="00911A3C"/>
    <w:rsid w:val="009212CC"/>
    <w:rsid w:val="009335DF"/>
    <w:rsid w:val="00934B8E"/>
    <w:rsid w:val="00937F1D"/>
    <w:rsid w:val="00951E04"/>
    <w:rsid w:val="00965EDD"/>
    <w:rsid w:val="009723AD"/>
    <w:rsid w:val="0097799D"/>
    <w:rsid w:val="00977CB6"/>
    <w:rsid w:val="00980E3B"/>
    <w:rsid w:val="0098659C"/>
    <w:rsid w:val="00986FA5"/>
    <w:rsid w:val="009927EF"/>
    <w:rsid w:val="009A54DE"/>
    <w:rsid w:val="009E034A"/>
    <w:rsid w:val="009E3DFB"/>
    <w:rsid w:val="00A002EE"/>
    <w:rsid w:val="00A0039B"/>
    <w:rsid w:val="00A00867"/>
    <w:rsid w:val="00A042BF"/>
    <w:rsid w:val="00A1724F"/>
    <w:rsid w:val="00A20D1E"/>
    <w:rsid w:val="00A24825"/>
    <w:rsid w:val="00A261A1"/>
    <w:rsid w:val="00A27FDF"/>
    <w:rsid w:val="00A43DE6"/>
    <w:rsid w:val="00A459D3"/>
    <w:rsid w:val="00A543EE"/>
    <w:rsid w:val="00A56F1C"/>
    <w:rsid w:val="00A572BC"/>
    <w:rsid w:val="00A57548"/>
    <w:rsid w:val="00A80341"/>
    <w:rsid w:val="00A84887"/>
    <w:rsid w:val="00A87342"/>
    <w:rsid w:val="00A92863"/>
    <w:rsid w:val="00AB003A"/>
    <w:rsid w:val="00AB4B29"/>
    <w:rsid w:val="00AC5D94"/>
    <w:rsid w:val="00AE1A44"/>
    <w:rsid w:val="00AF0692"/>
    <w:rsid w:val="00B115EA"/>
    <w:rsid w:val="00B1705A"/>
    <w:rsid w:val="00B26C31"/>
    <w:rsid w:val="00B27ECA"/>
    <w:rsid w:val="00B325B0"/>
    <w:rsid w:val="00B441CD"/>
    <w:rsid w:val="00B51929"/>
    <w:rsid w:val="00B619BF"/>
    <w:rsid w:val="00B6226E"/>
    <w:rsid w:val="00B6655F"/>
    <w:rsid w:val="00B765DA"/>
    <w:rsid w:val="00BA132F"/>
    <w:rsid w:val="00BA7368"/>
    <w:rsid w:val="00BC75F1"/>
    <w:rsid w:val="00BD2439"/>
    <w:rsid w:val="00BE5FFB"/>
    <w:rsid w:val="00C01CA8"/>
    <w:rsid w:val="00C15681"/>
    <w:rsid w:val="00C248F9"/>
    <w:rsid w:val="00C25A58"/>
    <w:rsid w:val="00C4040B"/>
    <w:rsid w:val="00C46465"/>
    <w:rsid w:val="00C53B0C"/>
    <w:rsid w:val="00C918D5"/>
    <w:rsid w:val="00CB5FAA"/>
    <w:rsid w:val="00CB6F06"/>
    <w:rsid w:val="00CC12D5"/>
    <w:rsid w:val="00CC3990"/>
    <w:rsid w:val="00CD4F75"/>
    <w:rsid w:val="00CD55B4"/>
    <w:rsid w:val="00CE060F"/>
    <w:rsid w:val="00CE0E44"/>
    <w:rsid w:val="00CF4A83"/>
    <w:rsid w:val="00D01154"/>
    <w:rsid w:val="00D0294F"/>
    <w:rsid w:val="00D07FC3"/>
    <w:rsid w:val="00D2714A"/>
    <w:rsid w:val="00D30BFD"/>
    <w:rsid w:val="00D33BB0"/>
    <w:rsid w:val="00D434BF"/>
    <w:rsid w:val="00D61147"/>
    <w:rsid w:val="00D729EA"/>
    <w:rsid w:val="00D92C0E"/>
    <w:rsid w:val="00D95AE1"/>
    <w:rsid w:val="00DA6499"/>
    <w:rsid w:val="00DB7CAE"/>
    <w:rsid w:val="00DB7CE9"/>
    <w:rsid w:val="00DC1B66"/>
    <w:rsid w:val="00DF3A1E"/>
    <w:rsid w:val="00E00C8B"/>
    <w:rsid w:val="00E078F4"/>
    <w:rsid w:val="00E122DA"/>
    <w:rsid w:val="00E271E3"/>
    <w:rsid w:val="00E55A3E"/>
    <w:rsid w:val="00E6112F"/>
    <w:rsid w:val="00E6416F"/>
    <w:rsid w:val="00E816AB"/>
    <w:rsid w:val="00EA3CB1"/>
    <w:rsid w:val="00EA4641"/>
    <w:rsid w:val="00ED16B5"/>
    <w:rsid w:val="00ED4D49"/>
    <w:rsid w:val="00EF4F4C"/>
    <w:rsid w:val="00EF6740"/>
    <w:rsid w:val="00F00F99"/>
    <w:rsid w:val="00F024C9"/>
    <w:rsid w:val="00F03A94"/>
    <w:rsid w:val="00F10845"/>
    <w:rsid w:val="00F10B4F"/>
    <w:rsid w:val="00F12985"/>
    <w:rsid w:val="00F31BB2"/>
    <w:rsid w:val="00F40036"/>
    <w:rsid w:val="00F50850"/>
    <w:rsid w:val="00F50CDA"/>
    <w:rsid w:val="00F54969"/>
    <w:rsid w:val="00F552BB"/>
    <w:rsid w:val="00F55393"/>
    <w:rsid w:val="00F622EC"/>
    <w:rsid w:val="00F63071"/>
    <w:rsid w:val="00FA5884"/>
    <w:rsid w:val="00FD638E"/>
    <w:rsid w:val="00FD7A61"/>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10</cp:revision>
  <dcterms:created xsi:type="dcterms:W3CDTF">2022-07-05T02:01:00Z</dcterms:created>
  <dcterms:modified xsi:type="dcterms:W3CDTF">2022-07-06T05:48:00Z</dcterms:modified>
</cp:coreProperties>
</file>