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55C2" w14:textId="77777777" w:rsidR="00C43731" w:rsidRPr="005563FC" w:rsidRDefault="00C43731" w:rsidP="00C4373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0B96D2F0" w14:textId="77777777" w:rsidR="00C43731" w:rsidRPr="005563FC" w:rsidRDefault="00C43731" w:rsidP="00C4373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34270466" w14:textId="77777777" w:rsidR="00C43731" w:rsidRPr="005563FC" w:rsidRDefault="00C43731" w:rsidP="00C4373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C43731" w:rsidRPr="000F029A" w14:paraId="487E8F34" w14:textId="77777777" w:rsidTr="00064D41">
        <w:trPr>
          <w:trHeight w:val="18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9445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DA50563" w14:textId="77777777" w:rsidR="00C43731" w:rsidRPr="005563FC" w:rsidRDefault="00C43731" w:rsidP="004D675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D81" w14:textId="77777777" w:rsidR="00C43731" w:rsidRPr="005563FC" w:rsidRDefault="00C43731" w:rsidP="004D6754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2AC31EFA" w14:textId="3A21676B" w:rsidR="00C43731" w:rsidRDefault="00C43731" w:rsidP="004D675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>4,238,</w:t>
            </w:r>
            <w:r w:rsidR="00A17CFA">
              <w:rPr>
                <w:sz w:val="18"/>
                <w:szCs w:val="18"/>
                <w:lang w:val="ms-MY"/>
              </w:rPr>
              <w:t xml:space="preserve">875.51 yang matang pada 5 Disember 2025 dan RM8,111,369.64 yang matang pada 15 Disember 2025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>Bank Islam Malaysia Berhad (BIMB)</w:t>
            </w:r>
            <w:r w:rsidR="00A17CFA">
              <w:rPr>
                <w:sz w:val="18"/>
                <w:szCs w:val="18"/>
                <w:lang w:val="ms-MY"/>
              </w:rPr>
              <w:t>.</w:t>
            </w:r>
          </w:p>
          <w:p w14:paraId="1A8830BE" w14:textId="77777777" w:rsidR="00C43731" w:rsidRDefault="00C43731" w:rsidP="004D6754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75C2AD48" w14:textId="23DD3A6E" w:rsidR="00C43731" w:rsidRPr="0054351F" w:rsidRDefault="00C43731" w:rsidP="004D675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>(BIMB) selama  3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 w:rsidR="00A17CFA">
              <w:rPr>
                <w:sz w:val="18"/>
                <w:szCs w:val="18"/>
                <w:lang w:val="ms-MY"/>
              </w:rPr>
              <w:t xml:space="preserve">4,033,408.22 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 w:rsidR="00A17CFA">
              <w:rPr>
                <w:sz w:val="18"/>
                <w:szCs w:val="18"/>
                <w:lang w:val="ms-MY"/>
              </w:rPr>
              <w:t>22 Disember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 w:rsidR="00DF5130">
              <w:rPr>
                <w:sz w:val="18"/>
                <w:szCs w:val="18"/>
                <w:lang w:val="ms-MY"/>
              </w:rPr>
              <w:t>. M</w:t>
            </w:r>
            <w:r w:rsidR="00B01D30">
              <w:rPr>
                <w:sz w:val="18"/>
                <w:szCs w:val="18"/>
                <w:lang w:val="ms-MY"/>
              </w:rPr>
              <w:t xml:space="preserve">anakala </w:t>
            </w:r>
            <w:r w:rsidR="00BB01CD">
              <w:rPr>
                <w:sz w:val="18"/>
                <w:szCs w:val="18"/>
                <w:lang w:val="ms-MY"/>
              </w:rPr>
              <w:t xml:space="preserve">simpanan tetap berjumlah </w:t>
            </w:r>
            <w:r w:rsidR="00A17CFA">
              <w:rPr>
                <w:sz w:val="18"/>
                <w:szCs w:val="18"/>
                <w:lang w:val="ms-MY"/>
              </w:rPr>
              <w:t>RM10,212,644.85 yang matang pada 23 Disember 2025 dan RM5,026,321.90 yang matang pada 29 Disember 2025</w:t>
            </w:r>
            <w:r w:rsidR="0046536C">
              <w:rPr>
                <w:sz w:val="18"/>
                <w:szCs w:val="18"/>
                <w:lang w:val="ms-MY"/>
              </w:rPr>
              <w:t xml:space="preserve"> akan disambung untuk tempoh 4 bulan</w:t>
            </w:r>
            <w:r w:rsidR="00A17CFA">
              <w:rPr>
                <w:sz w:val="18"/>
                <w:szCs w:val="18"/>
                <w:lang w:val="ms-MY"/>
              </w:rPr>
              <w:t>.</w:t>
            </w:r>
            <w:r>
              <w:rPr>
                <w:sz w:val="18"/>
                <w:szCs w:val="18"/>
                <w:lang w:val="ms-MY"/>
              </w:rPr>
              <w:t xml:space="preserve"> </w:t>
            </w:r>
          </w:p>
        </w:tc>
      </w:tr>
      <w:tr w:rsidR="00C43731" w:rsidRPr="005563FC" w14:paraId="0C8802F5" w14:textId="77777777" w:rsidTr="00064D41">
        <w:trPr>
          <w:trHeight w:val="8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508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0D8A3744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9A3" w14:textId="7B07ADEE" w:rsidR="00C43731" w:rsidRPr="005563FC" w:rsidRDefault="00A17CFA" w:rsidP="004D6754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Disember</w:t>
            </w:r>
            <w:r w:rsidR="00C43731">
              <w:rPr>
                <w:sz w:val="18"/>
                <w:szCs w:val="18"/>
                <w:lang w:val="ms-MY"/>
              </w:rPr>
              <w:t xml:space="preserve"> 2025</w:t>
            </w:r>
          </w:p>
        </w:tc>
      </w:tr>
      <w:tr w:rsidR="00C43731" w:rsidRPr="007152FE" w14:paraId="4DAAA84F" w14:textId="77777777" w:rsidTr="00064D41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2215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FB6587F" w14:textId="77777777" w:rsidR="00C43731" w:rsidRPr="005563FC" w:rsidRDefault="00C43731" w:rsidP="004D675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3F2" w14:textId="60D4BAAD" w:rsidR="00C43731" w:rsidRDefault="00C43731" w:rsidP="004D6754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A17CFA">
              <w:rPr>
                <w:sz w:val="18"/>
                <w:szCs w:val="18"/>
                <w:lang w:val="ms-MY"/>
              </w:rPr>
              <w:t>1 Disember</w:t>
            </w:r>
            <w:r>
              <w:rPr>
                <w:sz w:val="18"/>
                <w:szCs w:val="18"/>
                <w:lang w:val="ms-MY"/>
              </w:rPr>
              <w:t xml:space="preserve">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B030383" w14:textId="6D8531D5" w:rsidR="00C43731" w:rsidRPr="005563FC" w:rsidRDefault="00C43731" w:rsidP="004D6754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</w:t>
            </w:r>
            <w:r w:rsidR="00A17CFA">
              <w:rPr>
                <w:color w:val="000000" w:themeColor="text1"/>
                <w:sz w:val="18"/>
                <w:szCs w:val="18"/>
                <w:lang w:val="ms-MY"/>
              </w:rPr>
              <w:t>M4,053,720.03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C43731" w:rsidRPr="000F029A" w14:paraId="2015DF13" w14:textId="77777777" w:rsidTr="00064D41">
        <w:trPr>
          <w:trHeight w:val="96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1DF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D3F8350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30F2" w14:textId="77777777" w:rsidR="00C25A3C" w:rsidRDefault="00C43731" w:rsidP="004D6754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>pembangunan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</w:t>
            </w:r>
            <w:r w:rsidR="00A17CFA">
              <w:rPr>
                <w:sz w:val="18"/>
                <w:szCs w:val="18"/>
                <w:lang w:val="sv-SE"/>
              </w:rPr>
              <w:t>Disember</w:t>
            </w:r>
            <w:r w:rsidR="00C25A3C">
              <w:rPr>
                <w:sz w:val="18"/>
                <w:szCs w:val="18"/>
                <w:lang w:val="sv-SE"/>
              </w:rPr>
              <w:t xml:space="preserve"> 2025</w:t>
            </w:r>
            <w:r>
              <w:rPr>
                <w:sz w:val="18"/>
                <w:szCs w:val="18"/>
                <w:lang w:val="sv-SE"/>
              </w:rPr>
              <w:t xml:space="preserve"> </w:t>
            </w:r>
            <w:r w:rsidR="00C25A3C">
              <w:rPr>
                <w:sz w:val="18"/>
                <w:szCs w:val="18"/>
                <w:lang w:val="sv-SE"/>
              </w:rPr>
              <w:t xml:space="preserve">sehingga akhir Januari 2026 </w:t>
            </w:r>
            <w:r w:rsidRPr="005563FC">
              <w:rPr>
                <w:sz w:val="18"/>
                <w:szCs w:val="18"/>
                <w:lang w:val="sv-SE"/>
              </w:rPr>
              <w:t>adalah sepert</w:t>
            </w:r>
          </w:p>
          <w:p w14:paraId="389D82F5" w14:textId="031BB679" w:rsidR="00C43731" w:rsidRPr="005563FC" w:rsidRDefault="00C43731" w:rsidP="004D6754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>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C43731" w:rsidRPr="000F029A" w14:paraId="7745E216" w14:textId="77777777" w:rsidTr="004D6754">
              <w:trPr>
                <w:trHeight w:val="234"/>
              </w:trPr>
              <w:tc>
                <w:tcPr>
                  <w:tcW w:w="3971" w:type="dxa"/>
                  <w:noWrap/>
                </w:tcPr>
                <w:p w14:paraId="0DB5C441" w14:textId="77777777" w:rsidR="00C43731" w:rsidRPr="005563FC" w:rsidRDefault="00C43731" w:rsidP="004D6754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11369D86" w14:textId="67D1AA69" w:rsidR="00C43731" w:rsidRPr="005563FC" w:rsidRDefault="00C25A3C" w:rsidP="004D675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Disember </w:t>
                  </w:r>
                  <w:r w:rsidR="00C4373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2025</w:t>
                  </w:r>
                </w:p>
              </w:tc>
            </w:tr>
            <w:tr w:rsidR="00C43731" w:rsidRPr="000F029A" w14:paraId="63485F34" w14:textId="77777777" w:rsidTr="004D6754">
              <w:trPr>
                <w:trHeight w:val="322"/>
              </w:trPr>
              <w:tc>
                <w:tcPr>
                  <w:tcW w:w="3971" w:type="dxa"/>
                  <w:noWrap/>
                </w:tcPr>
                <w:p w14:paraId="4EFF5FFA" w14:textId="77777777" w:rsidR="00C43731" w:rsidRPr="005563FC" w:rsidRDefault="00C43731" w:rsidP="004D6754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3611C892" w14:textId="1BE01A88" w:rsidR="00C43731" w:rsidRPr="005563FC" w:rsidRDefault="00C25A3C" w:rsidP="004D6754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16</w:t>
                  </w:r>
                  <w:r w:rsidR="00C43731">
                    <w:rPr>
                      <w:sz w:val="18"/>
                      <w:szCs w:val="18"/>
                      <w:lang w:val="sv-SE"/>
                    </w:rPr>
                    <w:t>,000,000.00</w:t>
                  </w:r>
                </w:p>
              </w:tc>
            </w:tr>
            <w:tr w:rsidR="00C43731" w:rsidRPr="000F029A" w14:paraId="3DAE980F" w14:textId="77777777" w:rsidTr="004D6754">
              <w:trPr>
                <w:trHeight w:val="63"/>
              </w:trPr>
              <w:tc>
                <w:tcPr>
                  <w:tcW w:w="3971" w:type="dxa"/>
                  <w:noWrap/>
                </w:tcPr>
                <w:p w14:paraId="6A7949BF" w14:textId="77777777" w:rsidR="00C43731" w:rsidRPr="005563FC" w:rsidRDefault="00C43731" w:rsidP="004D6754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4A0F07E4" w14:textId="7CA9726C" w:rsidR="00C43731" w:rsidRPr="005563FC" w:rsidRDefault="00C25A3C" w:rsidP="004D6754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16</w:t>
                  </w:r>
                  <w:r w:rsidR="00C43731">
                    <w:rPr>
                      <w:b/>
                      <w:bCs/>
                      <w:sz w:val="18"/>
                      <w:szCs w:val="18"/>
                      <w:lang w:val="sv-SE"/>
                    </w:rPr>
                    <w:t>,000,000.00</w:t>
                  </w:r>
                </w:p>
              </w:tc>
            </w:tr>
          </w:tbl>
          <w:p w14:paraId="6E0C564E" w14:textId="77777777" w:rsidR="00C43731" w:rsidRPr="005563FC" w:rsidRDefault="00C43731" w:rsidP="004D6754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6A57ECE3" w14:textId="4675F696" w:rsidR="00C43731" w:rsidRPr="005563FC" w:rsidRDefault="00C43731" w:rsidP="004D6754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 xml:space="preserve">pada bulan </w:t>
            </w:r>
            <w:r w:rsidR="00C25A3C">
              <w:rPr>
                <w:sz w:val="18"/>
                <w:szCs w:val="18"/>
                <w:lang w:val="sv-SE"/>
              </w:rPr>
              <w:t>Disember</w:t>
            </w:r>
            <w:r>
              <w:rPr>
                <w:sz w:val="18"/>
                <w:szCs w:val="18"/>
                <w:lang w:val="sv-SE"/>
              </w:rPr>
              <w:t xml:space="preserve">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4A27B8B9" w14:textId="77777777" w:rsidR="00C43731" w:rsidRPr="005563FC" w:rsidRDefault="00C43731" w:rsidP="004D6754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66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09"/>
              <w:gridCol w:w="1843"/>
              <w:gridCol w:w="1275"/>
              <w:gridCol w:w="1134"/>
              <w:gridCol w:w="3252"/>
            </w:tblGrid>
            <w:tr w:rsidR="00C43731" w:rsidRPr="0056005D" w14:paraId="5E4AFDF4" w14:textId="77777777" w:rsidTr="00064D41">
              <w:trPr>
                <w:trHeight w:val="103"/>
              </w:trPr>
              <w:tc>
                <w:tcPr>
                  <w:tcW w:w="452" w:type="dxa"/>
                  <w:shd w:val="clear" w:color="auto" w:fill="F2F2F2" w:themeFill="background1" w:themeFillShade="F2"/>
                  <w:vAlign w:val="center"/>
                </w:tcPr>
                <w:p w14:paraId="70E67F80" w14:textId="77777777" w:rsidR="00C43731" w:rsidRPr="00C25A3C" w:rsidRDefault="00C43731" w:rsidP="004D675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55B639B9" w14:textId="77777777" w:rsidR="00C43731" w:rsidRPr="00C25A3C" w:rsidRDefault="00C43731" w:rsidP="004D675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AD16185" w14:textId="77777777" w:rsidR="00C43731" w:rsidRPr="00C25A3C" w:rsidRDefault="00C43731" w:rsidP="004D675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5D971A0F" w14:textId="77777777" w:rsidR="00C43731" w:rsidRPr="00C25A3C" w:rsidRDefault="00C43731" w:rsidP="004D675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8CF9D20" w14:textId="77777777" w:rsidR="00C43731" w:rsidRPr="00C25A3C" w:rsidRDefault="00C43731" w:rsidP="004D675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252" w:type="dxa"/>
                  <w:shd w:val="clear" w:color="auto" w:fill="F2F2F2" w:themeFill="background1" w:themeFillShade="F2"/>
                  <w:vAlign w:val="center"/>
                </w:tcPr>
                <w:p w14:paraId="1FCB88C7" w14:textId="77777777" w:rsidR="00C43731" w:rsidRPr="00C25A3C" w:rsidRDefault="00C43731" w:rsidP="004D6754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C25A3C" w:rsidRPr="000F029A" w14:paraId="041C8888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7DFD544D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05EE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87452" w14:textId="22856035" w:rsidR="00C25A3C" w:rsidRPr="00C25A3C" w:rsidRDefault="00C25A3C" w:rsidP="00C25A3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1010105-20250805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3472D" w14:textId="62B51B0E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1,059,718.88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E7DEF" w14:textId="0739081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05/12/2025</w:t>
                  </w:r>
                </w:p>
              </w:tc>
              <w:tc>
                <w:tcPr>
                  <w:tcW w:w="3252" w:type="dxa"/>
                </w:tcPr>
                <w:p w14:paraId="10C22BF1" w14:textId="7777777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C25A3C" w:rsidRPr="000F029A" w14:paraId="7DCFE134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55AE83ED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7EF9E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0560C" w14:textId="71C8A09A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1010106-20250805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1AF14" w14:textId="58DBD1CF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1,059,718.88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645E4" w14:textId="31F805F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05/12/2025</w:t>
                  </w:r>
                </w:p>
              </w:tc>
              <w:tc>
                <w:tcPr>
                  <w:tcW w:w="3252" w:type="dxa"/>
                </w:tcPr>
                <w:p w14:paraId="2CC43271" w14:textId="7777777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C25A3C" w:rsidRPr="000F029A" w14:paraId="2C4C9212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2AFF8506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EF7D8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6E9F2" w14:textId="38C63280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1010107-20250805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99F89" w14:textId="040CD75B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2,119,437.75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A3491" w14:textId="1309A3A2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05/12/2025</w:t>
                  </w:r>
                </w:p>
              </w:tc>
              <w:tc>
                <w:tcPr>
                  <w:tcW w:w="3252" w:type="dxa"/>
                </w:tcPr>
                <w:p w14:paraId="610F8ACC" w14:textId="7777777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C25A3C" w:rsidRPr="000F029A" w14:paraId="24304651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108C8DD7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A27A6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01480" w14:textId="268C2A66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1067529-20251015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3C75" w14:textId="7BAE79C6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 xml:space="preserve">                 4,055,684.82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F12B2" w14:textId="73D73B9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15/12/2025</w:t>
                  </w:r>
                </w:p>
              </w:tc>
              <w:tc>
                <w:tcPr>
                  <w:tcW w:w="3252" w:type="dxa"/>
                </w:tcPr>
                <w:p w14:paraId="759D075C" w14:textId="7777777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C25A3C" w:rsidRPr="000F029A" w14:paraId="3BE07929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6B06487F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6B181D61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C0C26" w14:textId="6A4352FC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1067530-20251015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AD5AA" w14:textId="6F829837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 xml:space="preserve">                 4,055,684.82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395A6" w14:textId="23160379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15/12/2025</w:t>
                  </w:r>
                </w:p>
              </w:tc>
              <w:tc>
                <w:tcPr>
                  <w:tcW w:w="3252" w:type="dxa"/>
                  <w:tcBorders>
                    <w:bottom w:val="single" w:sz="6" w:space="0" w:color="000000"/>
                  </w:tcBorders>
                </w:tcPr>
                <w:p w14:paraId="10D0F8AB" w14:textId="7777777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C25A3C" w:rsidRPr="000F029A" w14:paraId="64227B09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2D94E6D9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468DB36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E924B" w14:textId="33D375C6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1046693-20250922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EFB66" w14:textId="0016566B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2,016,704.11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F3BB7" w14:textId="1E8FF6ED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22/12/2025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3452B625" w14:textId="094C6FE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>Penyambungan semula simpanan tetap di BIMB selama 3 bulan</w:t>
                  </w:r>
                </w:p>
              </w:tc>
            </w:tr>
            <w:tr w:rsidR="00C25A3C" w:rsidRPr="000F029A" w14:paraId="10D246AA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19D7010E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6850486E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795B3" w14:textId="5259F9CE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1046694-20250922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6E9E4" w14:textId="73FDF1A7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2,016,704.11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79F07" w14:textId="14009DE5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22/12/2025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2F5CA929" w14:textId="77777777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>Penyambungan semula simpanan tetap di BIMB selama 3 bulan</w:t>
                  </w:r>
                </w:p>
              </w:tc>
            </w:tr>
            <w:tr w:rsidR="00C25A3C" w:rsidRPr="000F029A" w14:paraId="64DB00E7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6DEDA725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513229E8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E7FAD" w14:textId="60D13B9C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1047769-20250923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4D3E1" w14:textId="702C8901" w:rsidR="00C25A3C" w:rsidRPr="00C25A3C" w:rsidRDefault="00C25A3C" w:rsidP="00C25A3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2,042,528.97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15C3F" w14:textId="76B60BB7" w:rsidR="00C25A3C" w:rsidRPr="00C25A3C" w:rsidRDefault="00C25A3C" w:rsidP="00C25A3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23/12/2025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9EC99F4" w14:textId="5A1E7304" w:rsidR="00C25A3C" w:rsidRPr="00C25A3C" w:rsidRDefault="00C25A3C" w:rsidP="00C25A3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  <w:lang w:val="sv-SE"/>
                    </w:rPr>
                    <w:t xml:space="preserve">Penyambungan semula simpanan tetap di BIMB selama </w:t>
                  </w:r>
                  <w:r w:rsidR="001F654C"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C25A3C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1F654C" w:rsidRPr="000F029A" w14:paraId="13F4C0D2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40BE80E6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6763CF5E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744DA" w14:textId="55E8BF77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1047770-20250923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95B20" w14:textId="7790E438" w:rsidR="001F654C" w:rsidRPr="00C25A3C" w:rsidRDefault="001F654C" w:rsidP="001F654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2,042,528.97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C53F" w14:textId="40EC6E28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23/12/2025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640EDEF" w14:textId="53EA6774" w:rsidR="001F654C" w:rsidRPr="00C25A3C" w:rsidRDefault="001F654C" w:rsidP="001F654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C4EDB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654C" w:rsidRPr="000F029A" w14:paraId="70120558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2F95E758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24D8F782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BF637" w14:textId="5D06125E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1047771-20250924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17A78" w14:textId="0C90381A" w:rsidR="001F654C" w:rsidRPr="00C25A3C" w:rsidRDefault="001F654C" w:rsidP="001F654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2,042,528.97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402F0" w14:textId="494AC5FA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23/12/2025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7F1BDFA" w14:textId="3F613630" w:rsidR="001F654C" w:rsidRPr="00C25A3C" w:rsidRDefault="001F654C" w:rsidP="001F654C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C4EDB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654C" w:rsidRPr="000F029A" w14:paraId="51EF8C74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7E6405E3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5E42DEA8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4C359" w14:textId="4CFB8DB1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1047772-20250924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711E3" w14:textId="13C4E563" w:rsidR="001F654C" w:rsidRPr="00C25A3C" w:rsidRDefault="001F654C" w:rsidP="001F654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2,042,528.97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0229" w14:textId="5499F2AB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23/12/2025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2A6DD0CA" w14:textId="3C724321" w:rsidR="001F654C" w:rsidRPr="00C25A3C" w:rsidRDefault="001F654C" w:rsidP="001F654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C4EDB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654C" w:rsidRPr="000F029A" w14:paraId="41638F22" w14:textId="77777777" w:rsidTr="00064D41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6DEC2B62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Cs/>
                      <w:sz w:val="18"/>
                      <w:szCs w:val="18"/>
                      <w:lang w:val="sv-SE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1849485D" w14:textId="77777777" w:rsidR="001F654C" w:rsidRPr="00C25A3C" w:rsidRDefault="001F654C" w:rsidP="001F654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D1B4" w14:textId="6977AE91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1047773-20250925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FE4" w14:textId="03A0B354" w:rsidR="001F654C" w:rsidRPr="00C25A3C" w:rsidRDefault="001F654C" w:rsidP="001F654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2,042,528.97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A2E15" w14:textId="30FF64B6" w:rsidR="001F654C" w:rsidRPr="00C25A3C" w:rsidRDefault="001F654C" w:rsidP="001F654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23/12/2025</w:t>
                  </w:r>
                </w:p>
              </w:tc>
              <w:tc>
                <w:tcPr>
                  <w:tcW w:w="3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4CE67D59" w14:textId="64040466" w:rsidR="001F654C" w:rsidRPr="00C25A3C" w:rsidRDefault="001F654C" w:rsidP="001F654C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C4EDB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</w:tbl>
          <w:p w14:paraId="2376CFFD" w14:textId="77777777" w:rsidR="00C43731" w:rsidRPr="002E1CEC" w:rsidRDefault="00C43731" w:rsidP="004D6754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C25A3C" w:rsidRPr="000F029A" w14:paraId="31A31021" w14:textId="77777777" w:rsidTr="00064D41">
        <w:trPr>
          <w:trHeight w:val="4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CE02" w14:textId="77777777" w:rsidR="00C25A3C" w:rsidRPr="005563FC" w:rsidRDefault="00C25A3C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66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09"/>
              <w:gridCol w:w="1834"/>
              <w:gridCol w:w="1284"/>
              <w:gridCol w:w="1125"/>
              <w:gridCol w:w="3261"/>
            </w:tblGrid>
            <w:tr w:rsidR="00C25A3C" w:rsidRPr="0054351F" w14:paraId="0E7DDC3C" w14:textId="77777777" w:rsidTr="001F0CE9">
              <w:trPr>
                <w:trHeight w:val="103"/>
              </w:trPr>
              <w:tc>
                <w:tcPr>
                  <w:tcW w:w="452" w:type="dxa"/>
                  <w:shd w:val="clear" w:color="auto" w:fill="F2F2F2" w:themeFill="background1" w:themeFillShade="F2"/>
                  <w:vAlign w:val="center"/>
                </w:tcPr>
                <w:p w14:paraId="26A17943" w14:textId="77777777" w:rsidR="00C25A3C" w:rsidRPr="0054351F" w:rsidRDefault="00C25A3C" w:rsidP="00C25A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1BB5BA3C" w14:textId="77777777" w:rsidR="00C25A3C" w:rsidRPr="0054351F" w:rsidRDefault="00C25A3C" w:rsidP="00C25A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34" w:type="dxa"/>
                  <w:shd w:val="clear" w:color="auto" w:fill="F2F2F2" w:themeFill="background1" w:themeFillShade="F2"/>
                  <w:vAlign w:val="center"/>
                </w:tcPr>
                <w:p w14:paraId="25B660CC" w14:textId="77777777" w:rsidR="00C25A3C" w:rsidRPr="00C25A3C" w:rsidRDefault="00C25A3C" w:rsidP="00C25A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84" w:type="dxa"/>
                  <w:shd w:val="clear" w:color="auto" w:fill="F2F2F2" w:themeFill="background1" w:themeFillShade="F2"/>
                  <w:vAlign w:val="center"/>
                </w:tcPr>
                <w:p w14:paraId="60AC3325" w14:textId="77777777" w:rsidR="00C25A3C" w:rsidRPr="0054351F" w:rsidRDefault="00C25A3C" w:rsidP="00C25A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25" w:type="dxa"/>
                  <w:shd w:val="clear" w:color="auto" w:fill="F2F2F2" w:themeFill="background1" w:themeFillShade="F2"/>
                  <w:vAlign w:val="center"/>
                </w:tcPr>
                <w:p w14:paraId="493305C1" w14:textId="77777777" w:rsidR="00C25A3C" w:rsidRPr="0054351F" w:rsidRDefault="00C25A3C" w:rsidP="00C25A3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261" w:type="dxa"/>
                  <w:shd w:val="clear" w:color="auto" w:fill="F2F2F2" w:themeFill="background1" w:themeFillShade="F2"/>
                  <w:vAlign w:val="center"/>
                </w:tcPr>
                <w:p w14:paraId="4570ABDB" w14:textId="77777777" w:rsidR="00C25A3C" w:rsidRPr="0054351F" w:rsidRDefault="00C25A3C" w:rsidP="00C25A3C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1F0CE9" w:rsidRPr="000F029A" w14:paraId="2D4A058C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D769DF3" w14:textId="7731E5C8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636F1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66FDB" w14:textId="1CA9F1CD" w:rsidR="001F0CE9" w:rsidRPr="00C25A3C" w:rsidRDefault="001F0CE9" w:rsidP="001F0CE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1079118-20251029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DCFCB" w14:textId="72541A3C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1,005,264.38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9712A" w14:textId="4A4BB07A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</w:tcPr>
                <w:p w14:paraId="26D750F8" w14:textId="69DF2128" w:rsidR="001F0CE9" w:rsidRPr="0054351F" w:rsidRDefault="001F0CE9" w:rsidP="001F0CE9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0CE9" w:rsidRPr="000F029A" w14:paraId="5FE8DFC6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BC3A255" w14:textId="202E41D0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73B84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33056" w14:textId="3EAE18DE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1079119-20251029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236F9" w14:textId="1F7F6703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1,005,264.38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3BF3B" w14:textId="54BE1ADA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</w:tcPr>
                <w:p w14:paraId="47DC0CEE" w14:textId="39EA3428" w:rsidR="001F0CE9" w:rsidRPr="0054351F" w:rsidRDefault="001F0CE9" w:rsidP="001F0CE9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0CE9" w:rsidRPr="000F029A" w14:paraId="03549C44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3DD9C8E" w14:textId="66CAF8C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B9D18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693B0" w14:textId="37FCDCDB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1079120-20251029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C84FA" w14:textId="759F9143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1,005,264.38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653F2" w14:textId="1C18F191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</w:tcPr>
                <w:p w14:paraId="463F3EAF" w14:textId="67A118D5" w:rsidR="001F0CE9" w:rsidRPr="0054351F" w:rsidRDefault="001F0CE9" w:rsidP="001F0CE9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0CE9" w:rsidRPr="000F029A" w14:paraId="016E6A77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5FFB8443" w14:textId="66DF6EE4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DFAF3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10960" w14:textId="7AB1A016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1079121-20251029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1A48F" w14:textId="0594B9DE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sz w:val="18"/>
                      <w:szCs w:val="18"/>
                    </w:rPr>
                    <w:t>502,632.19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2BF04" w14:textId="03F80F63" w:rsidR="001F0CE9" w:rsidRPr="00C25A3C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</w:tcPr>
                <w:p w14:paraId="2166D7B8" w14:textId="565CE166" w:rsidR="001F0CE9" w:rsidRPr="0054351F" w:rsidRDefault="001F0CE9" w:rsidP="001F0CE9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0CE9" w:rsidRPr="000F029A" w14:paraId="6A8DCE7E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3F708B0" w14:textId="43E047FD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3714F6EB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17670" w14:textId="0B5766BA" w:rsidR="001F0CE9" w:rsidRPr="00C25A3C" w:rsidRDefault="001F0CE9" w:rsidP="001F0CE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1079122-20251029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971D7" w14:textId="35AB3D4F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502,632.19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12610" w14:textId="5E72F5EC" w:rsidR="001F0CE9" w:rsidRPr="00C25A3C" w:rsidRDefault="001F0CE9" w:rsidP="001F0CE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000000"/>
                  </w:tcBorders>
                  <w:vAlign w:val="center"/>
                </w:tcPr>
                <w:p w14:paraId="02AE0F4E" w14:textId="2019FCC5" w:rsidR="001F0CE9" w:rsidRPr="0054351F" w:rsidRDefault="001F0CE9" w:rsidP="001F0CE9">
                  <w:pPr>
                    <w:spacing w:before="60" w:after="60"/>
                    <w:ind w:right="319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0CE9" w:rsidRPr="000F029A" w14:paraId="5BB33E48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5D37A997" w14:textId="5D711489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18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71F354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9F74" w14:textId="330CB56D" w:rsidR="001F0CE9" w:rsidRPr="00C25A3C" w:rsidRDefault="001F0CE9" w:rsidP="001F0CE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1079123-20251029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F8FC" w14:textId="055BDA5E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502,632.19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9BF34" w14:textId="7B5137F8" w:rsidR="001F0CE9" w:rsidRPr="00C25A3C" w:rsidRDefault="001F0CE9" w:rsidP="001F0CE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14:paraId="4128F7B2" w14:textId="6868DB6C" w:rsidR="001F0CE9" w:rsidRPr="0054351F" w:rsidRDefault="001F0CE9" w:rsidP="001F0CE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  <w:tr w:rsidR="001F0CE9" w:rsidRPr="000F029A" w14:paraId="7EB9504A" w14:textId="77777777" w:rsidTr="001F0CE9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669291A" w14:textId="2F9ECA33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B5A6EDD" w14:textId="77777777" w:rsidR="001F0CE9" w:rsidRPr="0054351F" w:rsidRDefault="001F0CE9" w:rsidP="001F0CE9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BD267" w14:textId="0998F7DC" w:rsidR="001F0CE9" w:rsidRPr="00C25A3C" w:rsidRDefault="001F0CE9" w:rsidP="001F0CE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1079124-20251029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38327" w14:textId="2FD4F362" w:rsidR="001F0CE9" w:rsidRPr="00C25A3C" w:rsidRDefault="001F0CE9" w:rsidP="001F0CE9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25A3C">
                    <w:rPr>
                      <w:sz w:val="18"/>
                      <w:szCs w:val="18"/>
                    </w:rPr>
                    <w:t>502,632.19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B1875" w14:textId="75DD321B" w:rsidR="001F0CE9" w:rsidRPr="00C25A3C" w:rsidRDefault="001F0CE9" w:rsidP="001F0CE9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5A3C">
                    <w:rPr>
                      <w:color w:val="000000"/>
                      <w:sz w:val="18"/>
                      <w:szCs w:val="18"/>
                    </w:rPr>
                    <w:t>29/12/2025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14:paraId="6D15F733" w14:textId="0F0E6A65" w:rsidR="001F0CE9" w:rsidRPr="0054351F" w:rsidRDefault="001F0CE9" w:rsidP="001F0CE9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F09F4">
                    <w:rPr>
                      <w:sz w:val="18"/>
                      <w:szCs w:val="18"/>
                      <w:lang w:val="sv-SE"/>
                    </w:rPr>
                    <w:t>Penyambungan semula simpanan tetap di BIMB selama 4 bulan</w:t>
                  </w:r>
                </w:p>
              </w:tc>
            </w:tr>
          </w:tbl>
          <w:p w14:paraId="704C13DE" w14:textId="77777777" w:rsidR="00C25A3C" w:rsidRPr="00C25A3C" w:rsidRDefault="00C25A3C" w:rsidP="00C25A3C">
            <w:pPr>
              <w:rPr>
                <w:lang w:val="sv-SE"/>
              </w:rPr>
            </w:pPr>
          </w:p>
        </w:tc>
      </w:tr>
      <w:tr w:rsidR="00C43731" w:rsidRPr="00A25C51" w14:paraId="7B960A5B" w14:textId="77777777" w:rsidTr="00064D41">
        <w:trPr>
          <w:trHeight w:val="39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9E4B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7894542C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D47" w14:textId="77777777" w:rsidR="00C43731" w:rsidRPr="00B74DF3" w:rsidRDefault="00C43731" w:rsidP="004D6754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</w:t>
            </w:r>
            <w:r>
              <w:rPr>
                <w:sz w:val="18"/>
                <w:szCs w:val="18"/>
                <w:lang w:val="ms-MY"/>
              </w:rPr>
              <w:t>K</w:t>
            </w:r>
            <w:r w:rsidRPr="00B74DF3">
              <w:rPr>
                <w:sz w:val="18"/>
                <w:szCs w:val="18"/>
                <w:lang w:val="ms-MY"/>
              </w:rPr>
              <w:t>AEDAH</w:t>
            </w:r>
          </w:p>
          <w:p w14:paraId="32003FED" w14:textId="77777777" w:rsidR="00C43731" w:rsidRPr="00B74DF3" w:rsidRDefault="00C43731" w:rsidP="004D6754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4"/>
              <w:gridCol w:w="993"/>
              <w:gridCol w:w="850"/>
              <w:gridCol w:w="851"/>
              <w:gridCol w:w="850"/>
              <w:gridCol w:w="851"/>
              <w:gridCol w:w="985"/>
              <w:gridCol w:w="857"/>
            </w:tblGrid>
            <w:tr w:rsidR="00C43731" w:rsidRPr="00C03FBE" w14:paraId="71806284" w14:textId="77777777" w:rsidTr="004D6754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4EA12690" w14:textId="77777777" w:rsidR="00C43731" w:rsidRPr="00C03FBE" w:rsidRDefault="00C43731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1984" w:type="dxa"/>
                  <w:vAlign w:val="center"/>
                </w:tcPr>
                <w:p w14:paraId="17513663" w14:textId="77777777" w:rsidR="00C43731" w:rsidRPr="00C03FBE" w:rsidRDefault="00C43731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993" w:type="dxa"/>
                  <w:vAlign w:val="center"/>
                </w:tcPr>
                <w:p w14:paraId="21A01FCD" w14:textId="77777777" w:rsidR="00C43731" w:rsidRPr="00C03FBE" w:rsidRDefault="00C43731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16F0B8EB" w14:textId="77777777" w:rsidR="00C43731" w:rsidRPr="00C03FBE" w:rsidRDefault="00C43731" w:rsidP="004D675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BF2C0C0" w14:textId="77777777" w:rsidR="00C43731" w:rsidRPr="00C03FBE" w:rsidRDefault="00C43731" w:rsidP="004D675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AD95421" w14:textId="77777777" w:rsidR="00C43731" w:rsidRPr="00C03FBE" w:rsidRDefault="00C43731" w:rsidP="004D675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1E7D2951" w14:textId="77777777" w:rsidR="00C43731" w:rsidRPr="00C03FBE" w:rsidRDefault="00C43731" w:rsidP="004D675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985" w:type="dxa"/>
                </w:tcPr>
                <w:p w14:paraId="42A6CC29" w14:textId="77777777" w:rsidR="00C43731" w:rsidRPr="00C03FBE" w:rsidRDefault="00C43731" w:rsidP="004D675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13F32287" w14:textId="77777777" w:rsidR="00C43731" w:rsidRPr="00C03FBE" w:rsidRDefault="00C43731" w:rsidP="004D675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C43731" w14:paraId="0DBD9F88" w14:textId="77777777" w:rsidTr="007B2827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5505B1C" w14:textId="77777777" w:rsidR="00C43731" w:rsidRPr="00C03FBE" w:rsidRDefault="00C43731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1984" w:type="dxa"/>
                  <w:shd w:val="clear" w:color="auto" w:fill="FFFF00"/>
                  <w:vAlign w:val="center"/>
                </w:tcPr>
                <w:p w14:paraId="56C4366F" w14:textId="77777777" w:rsidR="00C43731" w:rsidRPr="00C03FBE" w:rsidRDefault="00C43731" w:rsidP="004D675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993" w:type="dxa"/>
                  <w:shd w:val="clear" w:color="auto" w:fill="FFFF00"/>
                  <w:vAlign w:val="center"/>
                </w:tcPr>
                <w:p w14:paraId="4069246E" w14:textId="77777777" w:rsidR="00C43731" w:rsidRPr="00C03FBE" w:rsidRDefault="00C43731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CA75D37" w14:textId="27B780C8" w:rsidR="00C43731" w:rsidRPr="00C03FBE" w:rsidRDefault="00113718" w:rsidP="0011371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BAFC4DF" w14:textId="45D44FB9" w:rsidR="00C43731" w:rsidRPr="00C03FBE" w:rsidRDefault="00113718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1207A34" w14:textId="7DBF4583" w:rsidR="00C43731" w:rsidRPr="00C03FBE" w:rsidRDefault="00113718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7B2827">
                    <w:rPr>
                      <w:sz w:val="18"/>
                      <w:szCs w:val="18"/>
                      <w:lang w:val="sv-SE"/>
                    </w:rPr>
                    <w:t>5</w:t>
                  </w:r>
                  <w:r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5FCD28A" w14:textId="333E8FCB" w:rsidR="00C43731" w:rsidRPr="00C03FBE" w:rsidRDefault="00113718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7B2827">
                    <w:rPr>
                      <w:sz w:val="18"/>
                      <w:szCs w:val="18"/>
                      <w:lang w:val="sv-SE"/>
                    </w:rPr>
                    <w:t>60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985" w:type="dxa"/>
                  <w:shd w:val="clear" w:color="auto" w:fill="FFFF00"/>
                  <w:vAlign w:val="center"/>
                </w:tcPr>
                <w:p w14:paraId="5F25D412" w14:textId="0C6B7895" w:rsidR="00C43731" w:rsidRPr="00C03FBE" w:rsidRDefault="00113718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494596F9" w14:textId="11FDA0BC" w:rsidR="00C43731" w:rsidRDefault="00113718" w:rsidP="004D675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</w:tr>
            <w:tr w:rsidR="00113718" w14:paraId="73D11C0B" w14:textId="77777777" w:rsidTr="00113718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725B03AF" w14:textId="5E139FC2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8A93BB9" w14:textId="025322B3" w:rsidR="00113718" w:rsidRPr="00E3749D" w:rsidRDefault="00113718" w:rsidP="0011371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993" w:type="dxa"/>
                  <w:vAlign w:val="center"/>
                </w:tcPr>
                <w:p w14:paraId="7F64F874" w14:textId="4A66E0F4" w:rsidR="00113718" w:rsidRPr="00C03FBE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5F9C6895" w14:textId="67D0C5C2" w:rsidR="00113718" w:rsidRDefault="00113718" w:rsidP="0011371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0E651272" w14:textId="4F3FA181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0" w:type="dxa"/>
                  <w:vAlign w:val="center"/>
                </w:tcPr>
                <w:p w14:paraId="56814B9F" w14:textId="5723BFA2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1" w:type="dxa"/>
                  <w:vAlign w:val="center"/>
                </w:tcPr>
                <w:p w14:paraId="393EF30C" w14:textId="117B87AA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985" w:type="dxa"/>
                  <w:vAlign w:val="center"/>
                </w:tcPr>
                <w:p w14:paraId="3EFED67F" w14:textId="4B10481E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vAlign w:val="center"/>
                </w:tcPr>
                <w:p w14:paraId="51779662" w14:textId="4AAB8C0D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113718" w:rsidRPr="00DF4769" w14:paraId="66C2EFDC" w14:textId="77777777" w:rsidTr="006F5921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3E9DEC6A" w14:textId="669A8206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1984" w:type="dxa"/>
                  <w:vAlign w:val="center"/>
                </w:tcPr>
                <w:p w14:paraId="4B836756" w14:textId="00351F0B" w:rsidR="00113718" w:rsidRPr="00E3749D" w:rsidRDefault="00113718" w:rsidP="0011371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CIMB Bank (CIMB)</w:t>
                  </w:r>
                </w:p>
              </w:tc>
              <w:tc>
                <w:tcPr>
                  <w:tcW w:w="993" w:type="dxa"/>
                  <w:vAlign w:val="center"/>
                </w:tcPr>
                <w:p w14:paraId="0B203D5D" w14:textId="10F48AB8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6EDEDA92" w14:textId="107A5E49" w:rsidR="00113718" w:rsidRPr="00DF4769" w:rsidRDefault="00113718" w:rsidP="0011371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1" w:type="dxa"/>
                  <w:vAlign w:val="center"/>
                </w:tcPr>
                <w:p w14:paraId="7673FF4F" w14:textId="417FC329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vAlign w:val="center"/>
                </w:tcPr>
                <w:p w14:paraId="5B1665AB" w14:textId="5D6EC11C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1" w:type="dxa"/>
                </w:tcPr>
                <w:p w14:paraId="05474796" w14:textId="7CF32A95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0306"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985" w:type="dxa"/>
                </w:tcPr>
                <w:p w14:paraId="1A91FFA4" w14:textId="17B5870C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0306"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vAlign w:val="center"/>
                </w:tcPr>
                <w:p w14:paraId="6E08E841" w14:textId="2A0AA703" w:rsidR="00113718" w:rsidRPr="00DF4769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</w:tr>
            <w:tr w:rsidR="00113718" w:rsidRPr="00DF4769" w14:paraId="09514AFB" w14:textId="77777777" w:rsidTr="00E60BE4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70464901" w14:textId="5BB113C9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1984" w:type="dxa"/>
                  <w:vAlign w:val="center"/>
                </w:tcPr>
                <w:p w14:paraId="536BA485" w14:textId="635E6E25" w:rsidR="00113718" w:rsidRDefault="00113718" w:rsidP="0011371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</w:rPr>
                    <w:t>Maybank (MBB)</w:t>
                  </w:r>
                </w:p>
              </w:tc>
              <w:tc>
                <w:tcPr>
                  <w:tcW w:w="993" w:type="dxa"/>
                  <w:vAlign w:val="center"/>
                </w:tcPr>
                <w:p w14:paraId="63937794" w14:textId="38B45A15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2B5F4CDF" w14:textId="79F0ACE5" w:rsidR="00113718" w:rsidRDefault="00113718" w:rsidP="0011371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0214D444" w14:textId="2125C228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vAlign w:val="center"/>
                </w:tcPr>
                <w:p w14:paraId="741FF297" w14:textId="409640D6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08AA8C6A" w14:textId="5F423672" w:rsidR="00113718" w:rsidRPr="00C80306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985" w:type="dxa"/>
                  <w:vAlign w:val="center"/>
                </w:tcPr>
                <w:p w14:paraId="11D964CD" w14:textId="0A2F920D" w:rsidR="00113718" w:rsidRPr="00C80306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5BFCB8FB" w14:textId="5E02C002" w:rsidR="00113718" w:rsidRDefault="00113718" w:rsidP="0011371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096B7C8E" w14:textId="77777777" w:rsidR="00C43731" w:rsidRPr="005563FC" w:rsidRDefault="00C43731" w:rsidP="004D6754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C43731" w:rsidRPr="005563FC" w14:paraId="4CD95AC7" w14:textId="77777777" w:rsidTr="00064D41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CCB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2AE11BC7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794" w14:textId="77777777" w:rsidR="00C43731" w:rsidRPr="005563FC" w:rsidRDefault="00C43731" w:rsidP="004D675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C43731" w:rsidRPr="000F029A" w14:paraId="480BB4E6" w14:textId="77777777" w:rsidTr="00064D41">
        <w:trPr>
          <w:trHeight w:val="1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F1B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3596E58" w14:textId="77777777" w:rsidR="00C43731" w:rsidRPr="005563FC" w:rsidRDefault="00C43731" w:rsidP="004D675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F026" w14:textId="77777777" w:rsidR="00C43731" w:rsidRPr="005563FC" w:rsidRDefault="00C43731" w:rsidP="004D675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C43731" w:rsidRPr="000F029A" w14:paraId="14FC2C33" w14:textId="77777777" w:rsidTr="00064D41">
        <w:trPr>
          <w:trHeight w:val="8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642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4ED7845" w14:textId="77777777" w:rsidR="00C43731" w:rsidRPr="005563FC" w:rsidRDefault="00C43731" w:rsidP="004D675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B93" w14:textId="77777777" w:rsidR="00C43731" w:rsidRPr="005563FC" w:rsidRDefault="00C43731" w:rsidP="004D6754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C43731" w:rsidRPr="005563FC" w14:paraId="4A73358A" w14:textId="77777777" w:rsidTr="00064D41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32E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0DBDD74" w14:textId="77777777" w:rsidR="00C43731" w:rsidRPr="005563FC" w:rsidRDefault="00C43731" w:rsidP="004D6754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1DD" w14:textId="77777777" w:rsidR="00C43731" w:rsidRPr="005563FC" w:rsidRDefault="00C43731" w:rsidP="004D6754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C43731" w:rsidRPr="005563FC" w14:paraId="39801717" w14:textId="77777777" w:rsidTr="00064D41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932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SUMBER BAJET/ KOS</w:t>
            </w:r>
          </w:p>
          <w:p w14:paraId="7E0869BD" w14:textId="77777777" w:rsidR="00C43731" w:rsidRPr="005563FC" w:rsidRDefault="00C43731" w:rsidP="004D6754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6B0D" w14:textId="77777777" w:rsidR="00C43731" w:rsidRPr="005563FC" w:rsidRDefault="00C43731" w:rsidP="004D6754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1A90A113" w14:textId="77777777" w:rsidR="00C43731" w:rsidRPr="005563FC" w:rsidRDefault="00C43731" w:rsidP="004D6754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C43731" w:rsidRPr="000F029A" w14:paraId="473C096B" w14:textId="77777777" w:rsidTr="00064D41">
        <w:trPr>
          <w:trHeight w:val="9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83F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3AFD3907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79B" w14:textId="77777777" w:rsidR="00C43731" w:rsidRPr="005563FC" w:rsidRDefault="00C43731" w:rsidP="004D6754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C43731" w:rsidRPr="000F029A" w14:paraId="60B991D2" w14:textId="77777777" w:rsidTr="00064D41">
        <w:trPr>
          <w:trHeight w:val="2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2BFB" w14:textId="77777777" w:rsidR="00C43731" w:rsidRPr="005563FC" w:rsidRDefault="00C43731" w:rsidP="004D6754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369E1B6B" w14:textId="77777777" w:rsidR="00C43731" w:rsidRPr="005563FC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C8A" w14:textId="77777777" w:rsidR="00C43731" w:rsidRDefault="00C43731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818EE1A" w14:textId="77777777" w:rsidR="007B2827" w:rsidRPr="005563FC" w:rsidRDefault="007B2827" w:rsidP="004D6754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  <w:p w14:paraId="441FBBF7" w14:textId="77777777" w:rsidR="007B2827" w:rsidRDefault="007B2827" w:rsidP="007B282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4,238,875.51 yang matang pada 5 Disember 2025 dan RM8,111,369.64 yang matang pada 15 Disember 2025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>Bank Islam Malaysia Berhad (BIMB).</w:t>
            </w:r>
          </w:p>
          <w:p w14:paraId="107ACDEC" w14:textId="77777777" w:rsidR="007B2827" w:rsidRDefault="007B2827" w:rsidP="007B282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033D462B" w14:textId="523A8C62" w:rsidR="00C43731" w:rsidRPr="005B50A0" w:rsidRDefault="007B2827" w:rsidP="007B282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>(BIMB) selama  3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4,033,408.22 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 xml:space="preserve">22 Disember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>, RM10,212,644.85 yang matang pada 23 Disember 2025 dan RM5,026,321.90 yang matang pada 29 Disember 2025.</w:t>
            </w:r>
          </w:p>
        </w:tc>
      </w:tr>
      <w:tr w:rsidR="00C43731" w:rsidRPr="005563FC" w14:paraId="69B4C7F0" w14:textId="77777777" w:rsidTr="00064D41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9F4" w14:textId="77777777" w:rsidR="00C43731" w:rsidRPr="005563FC" w:rsidRDefault="00C43731" w:rsidP="004D6754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F5E" w14:textId="77777777" w:rsidR="00C43731" w:rsidRPr="005563FC" w:rsidRDefault="00C43731" w:rsidP="004D675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57672444" w14:textId="77777777" w:rsidR="00C43731" w:rsidRDefault="00C43731" w:rsidP="00C43731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perlu.</w:t>
      </w:r>
    </w:p>
    <w:p w14:paraId="2AE73BFE" w14:textId="77777777" w:rsidR="00C43731" w:rsidRDefault="00C43731" w:rsidP="00C43731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03F53959" w14:textId="130E5708" w:rsidR="00C43731" w:rsidRDefault="007B2827" w:rsidP="00C43731">
      <w:pPr>
        <w:spacing w:line="276" w:lineRule="auto"/>
        <w:ind w:left="-142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282D873A" wp14:editId="7B81BA10">
            <wp:extent cx="6101360" cy="1690577"/>
            <wp:effectExtent l="0" t="0" r="0" b="5080"/>
            <wp:docPr id="21032644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6442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2006" cy="170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1A32" w14:textId="77777777" w:rsidR="007B2827" w:rsidRDefault="007B2827" w:rsidP="00C43731">
      <w:pPr>
        <w:spacing w:line="276" w:lineRule="auto"/>
        <w:ind w:left="-142"/>
        <w:rPr>
          <w:sz w:val="18"/>
          <w:szCs w:val="18"/>
          <w:lang w:val="sv-SE"/>
        </w:rPr>
      </w:pPr>
    </w:p>
    <w:p w14:paraId="540E15F1" w14:textId="7FC00A1E" w:rsidR="007B2827" w:rsidRDefault="007B2827" w:rsidP="00C43731">
      <w:pPr>
        <w:spacing w:line="276" w:lineRule="auto"/>
        <w:ind w:left="-142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05512B4B" wp14:editId="363637B7">
            <wp:extent cx="6102086" cy="1700884"/>
            <wp:effectExtent l="0" t="0" r="0" b="0"/>
            <wp:docPr id="201754343" name="Picture 1" descr="A computer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4343" name="Picture 1" descr="A computer screen 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3208" cy="171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B60A" w14:textId="698BBAE1" w:rsidR="00C43731" w:rsidRDefault="00C43731" w:rsidP="007B2827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5CE62382" w14:textId="6CCE46B6" w:rsidR="007B2827" w:rsidRDefault="007B2827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407B9CA4" wp14:editId="63E6534B">
            <wp:extent cx="6105383" cy="2073349"/>
            <wp:effectExtent l="0" t="0" r="0" b="3175"/>
            <wp:docPr id="190055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593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664" cy="207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CB44" w14:textId="77777777" w:rsidR="00C43731" w:rsidRDefault="00C43731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3</w:t>
      </w:r>
    </w:p>
    <w:p w14:paraId="023AE5DF" w14:textId="7DEEF213" w:rsidR="00C43731" w:rsidRDefault="007B2827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52C9BB9C" wp14:editId="1DA9026B">
            <wp:extent cx="6105525" cy="2020186"/>
            <wp:effectExtent l="0" t="0" r="0" b="0"/>
            <wp:docPr id="11283457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572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5188" cy="202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13A5C" w14:textId="1E994D13" w:rsidR="00C43731" w:rsidRDefault="007B2827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4</w:t>
      </w:r>
    </w:p>
    <w:p w14:paraId="66B6E0C9" w14:textId="77777777" w:rsidR="007B2827" w:rsidRDefault="007B2827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27DF8FEF" w14:textId="5C30136E" w:rsidR="007B2827" w:rsidRDefault="007B2827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7B2827">
        <w:rPr>
          <w:noProof/>
          <w:sz w:val="18"/>
          <w:szCs w:val="18"/>
          <w:lang w:val="sv-SE"/>
        </w:rPr>
        <w:drawing>
          <wp:inline distT="0" distB="0" distL="0" distR="0" wp14:anchorId="3B6638FB" wp14:editId="46B751A5">
            <wp:extent cx="6104532" cy="1722474"/>
            <wp:effectExtent l="0" t="0" r="0" b="0"/>
            <wp:docPr id="716679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7931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93" cy="17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8A48D" w14:textId="77777777" w:rsidR="00C43731" w:rsidRDefault="00C43731" w:rsidP="00C43731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3D4DB0DB" w14:textId="77777777" w:rsidR="00C43731" w:rsidRPr="005563FC" w:rsidRDefault="00C43731" w:rsidP="00C43731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C43731" w:rsidRPr="000F029A" w14:paraId="1A16D25D" w14:textId="77777777" w:rsidTr="004D6754">
        <w:trPr>
          <w:trHeight w:val="669"/>
        </w:trPr>
        <w:tc>
          <w:tcPr>
            <w:tcW w:w="5000" w:type="pct"/>
            <w:shd w:val="clear" w:color="auto" w:fill="D9E2F3"/>
          </w:tcPr>
          <w:p w14:paraId="68869028" w14:textId="77777777" w:rsidR="00C43731" w:rsidRPr="005563FC" w:rsidRDefault="00C43731" w:rsidP="004D6754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D553D21" w14:textId="77777777" w:rsidR="00C43731" w:rsidRPr="005563FC" w:rsidRDefault="00C43731" w:rsidP="004D6754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C43731" w:rsidRPr="005563FC" w14:paraId="1B221DD1" w14:textId="77777777" w:rsidTr="004D6754">
        <w:trPr>
          <w:trHeight w:val="1084"/>
        </w:trPr>
        <w:tc>
          <w:tcPr>
            <w:tcW w:w="5000" w:type="pct"/>
          </w:tcPr>
          <w:p w14:paraId="7890F62D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C41059F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581868C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5135DFC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73095E11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96AA3FE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06DEACE7" w14:textId="77777777" w:rsidR="00C43731" w:rsidRPr="005563FC" w:rsidRDefault="00C43731" w:rsidP="00C43731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C43731" w:rsidRPr="000F029A" w14:paraId="796868F7" w14:textId="77777777" w:rsidTr="004D6754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79BC275" w14:textId="77777777" w:rsidR="00C43731" w:rsidRPr="005563FC" w:rsidRDefault="00C43731" w:rsidP="004D6754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D7FC03F" w14:textId="77777777" w:rsidR="00C43731" w:rsidRPr="005563FC" w:rsidRDefault="00C43731" w:rsidP="004D6754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48FEFE23" w14:textId="77777777" w:rsidR="00C43731" w:rsidRPr="005563FC" w:rsidRDefault="00C43731" w:rsidP="004D6754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C43731" w:rsidRPr="0056005D" w14:paraId="72C2E41A" w14:textId="77777777" w:rsidTr="004D6754">
        <w:trPr>
          <w:trHeight w:val="1414"/>
        </w:trPr>
        <w:tc>
          <w:tcPr>
            <w:tcW w:w="1416" w:type="pct"/>
          </w:tcPr>
          <w:p w14:paraId="358FCD48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8C31F3E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092706E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CEFFCCF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DC26AAB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7682D0F3" w14:textId="7BBE7C7F" w:rsidR="00C43731" w:rsidRPr="005563FC" w:rsidRDefault="00DF2A77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 w:rsidR="00C43731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1396E846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F5991C9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A3A8304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1C116BB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791DB74" w14:textId="77777777" w:rsidR="00C43731" w:rsidRPr="005563FC" w:rsidRDefault="00C43731" w:rsidP="004D675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219CAA9D" w14:textId="284BECAD" w:rsidR="00C43731" w:rsidRPr="00D026C4" w:rsidRDefault="00DF2A77" w:rsidP="004D675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989" w:type="pct"/>
          </w:tcPr>
          <w:p w14:paraId="124A08BA" w14:textId="77777777" w:rsidR="00C43731" w:rsidRPr="00814873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3D3D8A2F" w14:textId="77777777" w:rsidR="00C43731" w:rsidRPr="00814873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CEAF2E7" w14:textId="77777777" w:rsidR="00C43731" w:rsidRPr="00814873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C759335" w14:textId="77777777" w:rsidR="00C43731" w:rsidRPr="0056005D" w:rsidRDefault="00C43731" w:rsidP="004D675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259D4BDF" w14:textId="77777777" w:rsidR="00C43731" w:rsidRPr="0056005D" w:rsidRDefault="00C43731" w:rsidP="004D675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1E7467E8" w14:textId="7CA200D1" w:rsidR="00C43731" w:rsidRPr="0056005D" w:rsidRDefault="00DF2A77" w:rsidP="004D675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eastAsia="MS Mincho"/>
                <w:sz w:val="18"/>
                <w:szCs w:val="18"/>
              </w:rPr>
              <w:t>Disember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</w:tr>
      <w:bookmarkEnd w:id="2"/>
    </w:tbl>
    <w:p w14:paraId="39B5BBD2" w14:textId="77777777" w:rsidR="00C43731" w:rsidRDefault="00C43731" w:rsidP="00064D41"/>
    <w:sectPr w:rsidR="00C43731" w:rsidSect="00C43731">
      <w:pgSz w:w="11906" w:h="16838"/>
      <w:pgMar w:top="284" w:right="144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92A20"/>
    <w:multiLevelType w:val="hybridMultilevel"/>
    <w:tmpl w:val="E20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901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31"/>
    <w:rsid w:val="00064D41"/>
    <w:rsid w:val="000F029A"/>
    <w:rsid w:val="00113718"/>
    <w:rsid w:val="001F0CE9"/>
    <w:rsid w:val="001F654C"/>
    <w:rsid w:val="0046536C"/>
    <w:rsid w:val="007B2827"/>
    <w:rsid w:val="00A17CFA"/>
    <w:rsid w:val="00B01D30"/>
    <w:rsid w:val="00BB01CD"/>
    <w:rsid w:val="00C25A3C"/>
    <w:rsid w:val="00C43731"/>
    <w:rsid w:val="00CE2761"/>
    <w:rsid w:val="00D443AE"/>
    <w:rsid w:val="00DF2A77"/>
    <w:rsid w:val="00DF5130"/>
    <w:rsid w:val="00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F34E"/>
  <w15:chartTrackingRefBased/>
  <w15:docId w15:val="{5CB1532E-4335-4B31-9B08-FB40A99C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31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43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43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4373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C43731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e85717fcaf65452e496fa19f8f6f0c02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1083e1b16ddb44a45d32c60927be515e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DE3D2-1AE5-4204-B4CA-EF43CEA21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A7534-7061-496F-89BE-33FEFAFCB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080E4-836C-4B08-9D1B-4F97237870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840</Words>
  <Characters>5402</Characters>
  <Application>Microsoft Office Word</Application>
  <DocSecurity>0</DocSecurity>
  <Lines>360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9</cp:revision>
  <cp:lastPrinted>2025-12-02T00:53:00Z</cp:lastPrinted>
  <dcterms:created xsi:type="dcterms:W3CDTF">2025-12-01T06:24:00Z</dcterms:created>
  <dcterms:modified xsi:type="dcterms:W3CDTF">2025-12-03T07:39:00Z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