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A412" w14:textId="77777777" w:rsidR="00C31888" w:rsidRPr="005563FC" w:rsidRDefault="00C31888" w:rsidP="00C3188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09C1CA2" w14:textId="77777777" w:rsidR="00C31888" w:rsidRPr="005563FC" w:rsidRDefault="00C31888" w:rsidP="00C3188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20034161" w14:textId="77777777" w:rsidR="00C31888" w:rsidRPr="005563FC" w:rsidRDefault="00C31888" w:rsidP="00C31888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C31888" w:rsidRPr="00370172" w14:paraId="49B879FF" w14:textId="77777777" w:rsidTr="00D026C4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780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990FB5C" w14:textId="77777777" w:rsidR="00C31888" w:rsidRPr="005563FC" w:rsidRDefault="00C3188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471" w14:textId="77777777" w:rsidR="00C31888" w:rsidRPr="005563FC" w:rsidRDefault="00C3188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7B5F314C" w14:textId="77777777" w:rsidR="00C31888" w:rsidRDefault="00C3188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>Affin Bank Berhad (AFFIN)</w:t>
            </w:r>
            <w:r w:rsidRPr="00E27413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berjumlah RM4,088,324.54</w:t>
            </w:r>
            <w:r w:rsidRPr="003323ED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28 Ogos</w:t>
            </w:r>
            <w:r w:rsidRPr="003323ED">
              <w:rPr>
                <w:sz w:val="18"/>
                <w:szCs w:val="18"/>
                <w:lang w:val="ms-MY"/>
              </w:rPr>
              <w:t xml:space="preserve"> 2025.</w:t>
            </w:r>
          </w:p>
          <w:p w14:paraId="34A2197C" w14:textId="6A50A350" w:rsidR="00C31888" w:rsidRPr="00C31888" w:rsidRDefault="00C31888" w:rsidP="00C3188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Penyambungan semula simpanan tetap mengurus di Bank Islam Malaysia Berhad (BIMB) berjumlah RM8,386,880.86 selama 4 bulan.</w:t>
            </w:r>
          </w:p>
        </w:tc>
      </w:tr>
      <w:tr w:rsidR="00C31888" w:rsidRPr="005563FC" w14:paraId="57F94350" w14:textId="77777777" w:rsidTr="00D026C4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E35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A211789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CC46" w14:textId="577A1F30" w:rsidR="00C31888" w:rsidRPr="005563FC" w:rsidRDefault="00C3188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 2025</w:t>
            </w:r>
          </w:p>
        </w:tc>
      </w:tr>
      <w:tr w:rsidR="00C31888" w:rsidRPr="0056005D" w14:paraId="5E3113D6" w14:textId="77777777" w:rsidTr="00D026C4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283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3C3C4507" w14:textId="77777777" w:rsidR="00C31888" w:rsidRPr="005563FC" w:rsidRDefault="00C3188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22D" w14:textId="51199A5C" w:rsidR="00C31888" w:rsidRDefault="00C3188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18 Ogos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161C0DF" w14:textId="51EA2BFB" w:rsidR="00C31888" w:rsidRPr="005563FC" w:rsidRDefault="00C3188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RM5,034,896.52</w:t>
            </w:r>
          </w:p>
        </w:tc>
      </w:tr>
      <w:tr w:rsidR="00C31888" w:rsidRPr="00370172" w14:paraId="065D8C37" w14:textId="77777777" w:rsidTr="00D026C4">
        <w:trPr>
          <w:trHeight w:val="52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701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28F082D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C69" w14:textId="5273D8A3" w:rsidR="00C31888" w:rsidRPr="005563FC" w:rsidRDefault="00C31888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</w:t>
            </w:r>
            <w:r>
              <w:rPr>
                <w:sz w:val="18"/>
                <w:szCs w:val="18"/>
                <w:lang w:val="sv-SE"/>
              </w:rPr>
              <w:t xml:space="preserve">pada bulan Ogos </w:t>
            </w:r>
            <w:r w:rsidR="00370172">
              <w:rPr>
                <w:sz w:val="18"/>
                <w:szCs w:val="18"/>
                <w:lang w:val="sv-SE"/>
              </w:rPr>
              <w:t>dan</w:t>
            </w:r>
            <w:r>
              <w:rPr>
                <w:sz w:val="18"/>
                <w:szCs w:val="18"/>
                <w:lang w:val="sv-SE"/>
              </w:rPr>
              <w:t xml:space="preserve"> September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C31888" w:rsidRPr="00370172" w14:paraId="1B7838BA" w14:textId="77777777">
              <w:trPr>
                <w:trHeight w:val="234"/>
              </w:trPr>
              <w:tc>
                <w:tcPr>
                  <w:tcW w:w="3971" w:type="dxa"/>
                  <w:noWrap/>
                </w:tcPr>
                <w:p w14:paraId="65353C79" w14:textId="77777777" w:rsidR="00C31888" w:rsidRPr="005563FC" w:rsidRDefault="00C3188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465DE71E" w14:textId="77777777" w:rsidR="00C31888" w:rsidRPr="005563FC" w:rsidRDefault="00C3188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Julai  2025</w:t>
                  </w:r>
                </w:p>
              </w:tc>
            </w:tr>
            <w:tr w:rsidR="00C31888" w:rsidRPr="00370172" w14:paraId="206728A3" w14:textId="77777777">
              <w:trPr>
                <w:trHeight w:val="322"/>
              </w:trPr>
              <w:tc>
                <w:tcPr>
                  <w:tcW w:w="3971" w:type="dxa"/>
                  <w:noWrap/>
                </w:tcPr>
                <w:p w14:paraId="6E24EE57" w14:textId="77777777" w:rsidR="00C31888" w:rsidRPr="005563FC" w:rsidRDefault="00C31888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19D87758" w14:textId="69663033" w:rsidR="00C31888" w:rsidRPr="005563FC" w:rsidRDefault="00C31888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4,400,000.00</w:t>
                  </w:r>
                </w:p>
              </w:tc>
            </w:tr>
            <w:tr w:rsidR="00C31888" w:rsidRPr="00370172" w14:paraId="387A7F67" w14:textId="77777777">
              <w:trPr>
                <w:trHeight w:val="322"/>
              </w:trPr>
              <w:tc>
                <w:tcPr>
                  <w:tcW w:w="3971" w:type="dxa"/>
                  <w:noWrap/>
                </w:tcPr>
                <w:p w14:paraId="308EBB80" w14:textId="77777777" w:rsidR="00C31888" w:rsidRPr="005563FC" w:rsidRDefault="00C31888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6EBBDF82" w14:textId="0BB5F162" w:rsidR="00C31888" w:rsidRPr="005563FC" w:rsidRDefault="00C31888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4,600,000.00</w:t>
                  </w:r>
                </w:p>
              </w:tc>
            </w:tr>
            <w:tr w:rsidR="00C31888" w:rsidRPr="00370172" w14:paraId="2AE1B663" w14:textId="77777777">
              <w:trPr>
                <w:trHeight w:val="63"/>
              </w:trPr>
              <w:tc>
                <w:tcPr>
                  <w:tcW w:w="3971" w:type="dxa"/>
                  <w:noWrap/>
                </w:tcPr>
                <w:p w14:paraId="4E7671F3" w14:textId="77777777" w:rsidR="00C31888" w:rsidRPr="005563FC" w:rsidRDefault="00C31888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30FE67D2" w14:textId="6CEF82E7" w:rsidR="00C31888" w:rsidRPr="005563FC" w:rsidRDefault="00C31888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9,000,000.00</w:t>
                  </w:r>
                </w:p>
              </w:tc>
            </w:tr>
          </w:tbl>
          <w:p w14:paraId="301EB84D" w14:textId="77777777" w:rsidR="00C31888" w:rsidRPr="005563FC" w:rsidRDefault="00C31888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25912EA0" w14:textId="789E51D2" w:rsidR="00C31888" w:rsidRPr="005563FC" w:rsidRDefault="00C31888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Ogos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4DB682FF" w14:textId="77777777" w:rsidR="00C31888" w:rsidRPr="005563FC" w:rsidRDefault="00C31888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0"/>
              <w:gridCol w:w="1700"/>
              <w:gridCol w:w="1340"/>
              <w:gridCol w:w="1134"/>
              <w:gridCol w:w="2970"/>
            </w:tblGrid>
            <w:tr w:rsidR="00C31888" w:rsidRPr="0056005D" w14:paraId="544DC5B0" w14:textId="77777777" w:rsidTr="00D026C4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6DCC466D" w14:textId="77777777" w:rsidR="00C31888" w:rsidRPr="005563FC" w:rsidRDefault="00C3188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0" w:type="dxa"/>
                  <w:shd w:val="clear" w:color="auto" w:fill="F2F2F2" w:themeFill="background1" w:themeFillShade="F2"/>
                  <w:vAlign w:val="center"/>
                </w:tcPr>
                <w:p w14:paraId="50B6C2FA" w14:textId="77777777" w:rsidR="00C31888" w:rsidRPr="005563FC" w:rsidRDefault="00C3188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vAlign w:val="center"/>
                </w:tcPr>
                <w:p w14:paraId="0E62C292" w14:textId="77777777" w:rsidR="00C31888" w:rsidRPr="005563FC" w:rsidRDefault="00C3188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340" w:type="dxa"/>
                  <w:shd w:val="clear" w:color="auto" w:fill="F2F2F2" w:themeFill="background1" w:themeFillShade="F2"/>
                  <w:vAlign w:val="center"/>
                </w:tcPr>
                <w:p w14:paraId="7DCF1508" w14:textId="77777777" w:rsidR="00C31888" w:rsidRPr="005563FC" w:rsidRDefault="00C3188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C66C461" w14:textId="77777777" w:rsidR="00C31888" w:rsidRPr="005563FC" w:rsidRDefault="00C3188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14:paraId="5D886313" w14:textId="77777777" w:rsidR="00C31888" w:rsidRPr="005563FC" w:rsidRDefault="00C31888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D026C4" w:rsidRPr="0056005D" w14:paraId="6687B04F" w14:textId="77777777" w:rsidTr="00D026C4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46A5DF75" w14:textId="77777777" w:rsidR="00D026C4" w:rsidRPr="00814873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A6245" w14:textId="77777777" w:rsidR="00D026C4" w:rsidRPr="004554EE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8D7F1" w14:textId="24610797" w:rsidR="00D026C4" w:rsidRPr="00D026C4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30-595-004765-6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12173" w14:textId="33CF58B6" w:rsidR="00D026C4" w:rsidRPr="00D026C4" w:rsidRDefault="00D026C4" w:rsidP="00D026C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sz w:val="18"/>
                      <w:szCs w:val="18"/>
                    </w:rPr>
                    <w:t>2,044,162.27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D1E02" w14:textId="1044316E" w:rsidR="00D026C4" w:rsidRPr="00D026C4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28/08/2025</w:t>
                  </w:r>
                </w:p>
              </w:tc>
              <w:tc>
                <w:tcPr>
                  <w:tcW w:w="2970" w:type="dxa"/>
                </w:tcPr>
                <w:p w14:paraId="6E44F569" w14:textId="77777777" w:rsidR="00D026C4" w:rsidRPr="004554EE" w:rsidRDefault="00D026C4" w:rsidP="00D026C4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  <w:tr w:rsidR="00D026C4" w:rsidRPr="0056005D" w14:paraId="0A6E643F" w14:textId="77777777" w:rsidTr="00D026C4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vAlign w:val="center"/>
                </w:tcPr>
                <w:p w14:paraId="7E83A794" w14:textId="77777777" w:rsidR="00D026C4" w:rsidRPr="00814873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0D3A7" w14:textId="77777777" w:rsidR="00D026C4" w:rsidRPr="004554EE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45CF2" w14:textId="24BA23C5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30-595-004766-9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EA15C" w14:textId="53A7CBC4" w:rsidR="00D026C4" w:rsidRPr="00D026C4" w:rsidRDefault="00D026C4" w:rsidP="00D026C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026C4">
                    <w:rPr>
                      <w:sz w:val="18"/>
                      <w:szCs w:val="18"/>
                    </w:rPr>
                    <w:t>2,044,162.27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0FA0D" w14:textId="774C3C24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28/08/2025</w:t>
                  </w:r>
                </w:p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64757DF7" w14:textId="77777777" w:rsidR="00D026C4" w:rsidRPr="004554EE" w:rsidRDefault="00D026C4" w:rsidP="00D026C4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554EE">
                    <w:rPr>
                      <w:bCs/>
                      <w:sz w:val="18"/>
                      <w:szCs w:val="18"/>
                      <w:lang w:val="sv-SE"/>
                    </w:rPr>
                    <w:t>Mencairkan simpanan tetap</w:t>
                  </w:r>
                </w:p>
              </w:tc>
            </w:tr>
            <w:tr w:rsidR="00D026C4" w:rsidRPr="00370172" w14:paraId="495492A2" w14:textId="77777777" w:rsidTr="00D026C4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DF33E" w14:textId="1A5540DC" w:rsidR="00D026C4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9521D" w14:textId="195C0088" w:rsidR="00D026C4" w:rsidRPr="004554EE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FEC0B" w14:textId="7791AFAB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932202-20250430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F1CBD" w14:textId="31B31DCD" w:rsidR="00D026C4" w:rsidRPr="00D026C4" w:rsidRDefault="00D026C4" w:rsidP="00D026C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026C4">
                    <w:rPr>
                      <w:sz w:val="18"/>
                      <w:szCs w:val="18"/>
                    </w:rPr>
                    <w:t>3,142,327.23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E6817" w14:textId="0C5B861F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29/08/2025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BDD45" w14:textId="0BF6E03D" w:rsidR="00D026C4" w:rsidRPr="00D026C4" w:rsidRDefault="00D026C4" w:rsidP="00D026C4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selama 4 bulan</w:t>
                  </w:r>
                </w:p>
              </w:tc>
            </w:tr>
            <w:tr w:rsidR="00D026C4" w:rsidRPr="00370172" w14:paraId="6BF30AF6" w14:textId="77777777" w:rsidTr="00D026C4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1AE10" w14:textId="53A60060" w:rsidR="00D026C4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F689D" w14:textId="14F73153" w:rsidR="00D026C4" w:rsidRPr="004554EE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D2FD8" w14:textId="2B0D3041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932203-20250430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13F05" w14:textId="3F8B1CA9" w:rsidR="00D026C4" w:rsidRPr="00D026C4" w:rsidRDefault="00D026C4" w:rsidP="00D026C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026C4">
                    <w:rPr>
                      <w:sz w:val="18"/>
                      <w:szCs w:val="18"/>
                    </w:rPr>
                    <w:t>3,142,327.23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B7C94" w14:textId="2E35155A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29/08/2025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72AD4" w14:textId="7B8FC198" w:rsidR="00D026C4" w:rsidRPr="00D026C4" w:rsidRDefault="00D026C4" w:rsidP="00D026C4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selama 4 bulan</w:t>
                  </w:r>
                </w:p>
              </w:tc>
            </w:tr>
            <w:tr w:rsidR="00D026C4" w:rsidRPr="00370172" w14:paraId="31FE347D" w14:textId="77777777" w:rsidTr="00D026C4">
              <w:trPr>
                <w:trHeight w:val="103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B401C" w14:textId="22695584" w:rsidR="00D026C4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72DD1" w14:textId="0B050CAF" w:rsidR="00D026C4" w:rsidRPr="004554EE" w:rsidRDefault="00D026C4" w:rsidP="00D026C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574E1" w14:textId="3400EE47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932204-20250430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1C04B" w14:textId="56D75B68" w:rsidR="00D026C4" w:rsidRPr="00D026C4" w:rsidRDefault="00D026C4" w:rsidP="00D026C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026C4">
                    <w:rPr>
                      <w:sz w:val="18"/>
                      <w:szCs w:val="18"/>
                    </w:rPr>
                    <w:t>2,102,226.40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ACDF2" w14:textId="4580D91D" w:rsidR="00D026C4" w:rsidRPr="00D026C4" w:rsidRDefault="00D026C4" w:rsidP="00D026C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026C4">
                    <w:rPr>
                      <w:color w:val="000000"/>
                      <w:sz w:val="18"/>
                      <w:szCs w:val="18"/>
                    </w:rPr>
                    <w:t>29/08/2025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B8872" w14:textId="5502CB5B" w:rsidR="00D026C4" w:rsidRPr="00D026C4" w:rsidRDefault="00D026C4" w:rsidP="00D026C4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026C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selama 4 bulan</w:t>
                  </w:r>
                </w:p>
              </w:tc>
            </w:tr>
          </w:tbl>
          <w:p w14:paraId="48086D7F" w14:textId="77777777" w:rsidR="00C31888" w:rsidRPr="002E1CEC" w:rsidRDefault="00C31888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C31888" w:rsidRPr="005563FC" w14:paraId="2FE1C9AB" w14:textId="77777777" w:rsidTr="00D026C4">
        <w:trPr>
          <w:trHeight w:val="35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CBF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ECDD005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B61" w14:textId="77777777" w:rsidR="00D026C4" w:rsidRPr="00B74DF3" w:rsidRDefault="00D026C4" w:rsidP="00D026C4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1B8330A9" w14:textId="77777777" w:rsidR="00D026C4" w:rsidRPr="00B74DF3" w:rsidRDefault="00D026C4" w:rsidP="00D026C4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7"/>
              <w:gridCol w:w="850"/>
            </w:tblGrid>
            <w:tr w:rsidR="00D026C4" w:rsidRPr="00C03FBE" w14:paraId="280C5E85" w14:textId="77777777" w:rsidTr="00D026C4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12EE949F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vAlign w:val="center"/>
                </w:tcPr>
                <w:p w14:paraId="65C84757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vAlign w:val="center"/>
                </w:tcPr>
                <w:p w14:paraId="4F65BB8E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CD92675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01A51140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4938750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1ABAD159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7" w:type="dxa"/>
                </w:tcPr>
                <w:p w14:paraId="0BFDF4AD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28A0488F" w14:textId="77777777" w:rsidR="00D026C4" w:rsidRPr="00C03FBE" w:rsidRDefault="00D026C4" w:rsidP="00D026C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D026C4" w14:paraId="42A5C23B" w14:textId="77777777" w:rsidTr="00D026C4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D92D7DC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5701CAE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90903EC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9E83DDE" w14:textId="77777777" w:rsidR="00D026C4" w:rsidRPr="00C03FBE" w:rsidRDefault="00D026C4" w:rsidP="00D026C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D9A2BEA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E9387AD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CC8BF40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C5DFE6C" w14:textId="77777777" w:rsidR="00D026C4" w:rsidRPr="00C03FBE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CF65EF5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</w:tr>
            <w:tr w:rsidR="00D026C4" w:rsidRPr="00DF4769" w14:paraId="77E250AF" w14:textId="77777777" w:rsidTr="00D026C4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6C193A8E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vAlign w:val="center"/>
                </w:tcPr>
                <w:p w14:paraId="1EE853B9" w14:textId="77777777" w:rsidR="00D026C4" w:rsidRPr="00E3749D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vAlign w:val="center"/>
                </w:tcPr>
                <w:p w14:paraId="51E096AE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30016D13" w14:textId="77777777" w:rsidR="00D026C4" w:rsidRPr="00DF4769" w:rsidRDefault="00D026C4" w:rsidP="00D026C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41C23FE7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vAlign w:val="center"/>
                </w:tcPr>
                <w:p w14:paraId="541A5E21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1299F055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7" w:type="dxa"/>
                  <w:vAlign w:val="center"/>
                </w:tcPr>
                <w:p w14:paraId="36A5A646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0" w:type="dxa"/>
                  <w:vAlign w:val="center"/>
                </w:tcPr>
                <w:p w14:paraId="0BE8AA84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D026C4" w:rsidRPr="00DF4769" w14:paraId="56FA0733" w14:textId="77777777" w:rsidTr="00D026C4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403E3565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vAlign w:val="center"/>
                </w:tcPr>
                <w:p w14:paraId="2D934C38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Maybank Islamic Berhad (MBB)</w:t>
                  </w:r>
                </w:p>
              </w:tc>
              <w:tc>
                <w:tcPr>
                  <w:tcW w:w="851" w:type="dxa"/>
                  <w:vAlign w:val="center"/>
                </w:tcPr>
                <w:p w14:paraId="06DFC2BC" w14:textId="77777777" w:rsidR="00D026C4" w:rsidRPr="00DF4769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513E5739" w14:textId="77777777" w:rsidR="00D026C4" w:rsidRDefault="00D026C4" w:rsidP="00D026C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5FA516FF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vAlign w:val="center"/>
                </w:tcPr>
                <w:p w14:paraId="5B70270D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78970592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54BDA8CD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  <w:vAlign w:val="center"/>
                </w:tcPr>
                <w:p w14:paraId="0B019692" w14:textId="77777777" w:rsidR="00D026C4" w:rsidRDefault="00D026C4" w:rsidP="00D026C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08B2011F" w14:textId="7C56DF8A" w:rsidR="00D026C4" w:rsidRPr="005563FC" w:rsidRDefault="00D026C4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31888" w:rsidRPr="005563FC" w14:paraId="38F8814D" w14:textId="77777777" w:rsidTr="00D026C4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2EF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F65CE2F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C63B" w14:textId="77777777" w:rsidR="00C31888" w:rsidRPr="005563FC" w:rsidRDefault="00C3188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C31888" w:rsidRPr="00370172" w14:paraId="6BD2FD3F" w14:textId="77777777" w:rsidTr="00D026C4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5D5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3D4D493" w14:textId="77777777" w:rsidR="00C31888" w:rsidRPr="005563FC" w:rsidRDefault="00C3188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B6DD" w14:textId="77777777" w:rsidR="00C31888" w:rsidRPr="005563FC" w:rsidRDefault="00C31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C31888" w:rsidRPr="00370172" w14:paraId="2D85C440" w14:textId="77777777" w:rsidTr="00D026C4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63C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4753872" w14:textId="77777777" w:rsidR="00C31888" w:rsidRPr="005563FC" w:rsidRDefault="00C3188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6A6" w14:textId="77777777" w:rsidR="00C31888" w:rsidRPr="005563FC" w:rsidRDefault="00C3188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C31888" w:rsidRPr="005563FC" w14:paraId="548AB8A9" w14:textId="77777777" w:rsidTr="00D026C4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8BD6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EEF809B" w14:textId="77777777" w:rsidR="00C31888" w:rsidRPr="005563FC" w:rsidRDefault="00C3188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1DB" w14:textId="77777777" w:rsidR="00C31888" w:rsidRPr="005563FC" w:rsidRDefault="00C3188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31888" w:rsidRPr="005563FC" w14:paraId="44738115" w14:textId="77777777" w:rsidTr="00D026C4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DE2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391655EC" w14:textId="77777777" w:rsidR="00C31888" w:rsidRPr="005563FC" w:rsidRDefault="00C3188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0B03" w14:textId="77777777" w:rsidR="00C31888" w:rsidRPr="005563FC" w:rsidRDefault="00C3188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C12487B" w14:textId="77777777" w:rsidR="00C31888" w:rsidRPr="005563FC" w:rsidRDefault="00C3188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C31888" w:rsidRPr="00370172" w14:paraId="117302A6" w14:textId="77777777" w:rsidTr="00D026C4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D9C6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34E3DED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B07" w14:textId="77777777" w:rsidR="00C31888" w:rsidRPr="005563FC" w:rsidRDefault="00C31888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C31888" w:rsidRPr="00370172" w14:paraId="2A4D5B2C" w14:textId="77777777" w:rsidTr="00D026C4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4B63" w14:textId="77777777" w:rsidR="00C31888" w:rsidRPr="005563FC" w:rsidRDefault="00C3188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50DC778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A68" w14:textId="77777777" w:rsidR="00C31888" w:rsidRPr="005563FC" w:rsidRDefault="00C3188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B9ED973" w14:textId="77777777" w:rsidR="00D026C4" w:rsidRDefault="00D026C4" w:rsidP="00D026C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>Affin Bank Berhad (AFFIN)</w:t>
            </w:r>
            <w:r w:rsidRPr="00E27413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berjumlah RM4,088,324.54</w:t>
            </w:r>
            <w:r w:rsidRPr="003323ED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28 Ogos</w:t>
            </w:r>
            <w:r w:rsidRPr="003323ED">
              <w:rPr>
                <w:sz w:val="18"/>
                <w:szCs w:val="18"/>
                <w:lang w:val="ms-MY"/>
              </w:rPr>
              <w:t xml:space="preserve"> 2025.</w:t>
            </w:r>
          </w:p>
          <w:p w14:paraId="2808E513" w14:textId="77777777" w:rsidR="00D026C4" w:rsidRDefault="00D026C4" w:rsidP="00D026C4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425DFA05" w14:textId="7848CAA3" w:rsidR="00C31888" w:rsidRPr="004554EE" w:rsidRDefault="00D026C4" w:rsidP="00D026C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Penyambungan semula simpanan tetap mengurus di Bank Islam Malaysia Berhad (BIMB) berjumlah RM8,386,880.86 selama 4 bulan.</w:t>
            </w:r>
          </w:p>
        </w:tc>
      </w:tr>
      <w:tr w:rsidR="00C31888" w:rsidRPr="005563FC" w14:paraId="6BAEA958" w14:textId="77777777" w:rsidTr="00D026C4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A27" w14:textId="77777777" w:rsidR="00C31888" w:rsidRPr="005563FC" w:rsidRDefault="00C3188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BD6" w14:textId="77777777" w:rsidR="00C31888" w:rsidRPr="005563FC" w:rsidRDefault="00C3188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26A3958C" w14:textId="77777777" w:rsidR="00C31888" w:rsidRDefault="00C31888" w:rsidP="00C31888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CACEA02" w14:textId="77777777" w:rsidR="00C31888" w:rsidRDefault="00C31888" w:rsidP="00C31888">
      <w:pPr>
        <w:spacing w:line="276" w:lineRule="auto"/>
        <w:ind w:left="-142"/>
        <w:rPr>
          <w:sz w:val="18"/>
          <w:szCs w:val="18"/>
          <w:lang w:val="sv-SE"/>
        </w:rPr>
      </w:pPr>
    </w:p>
    <w:p w14:paraId="409A39E0" w14:textId="77777777" w:rsidR="00C31888" w:rsidRPr="005563FC" w:rsidRDefault="00C31888" w:rsidP="00C31888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31888" w:rsidRPr="00370172" w14:paraId="1ACD8134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77AB169F" w14:textId="77777777" w:rsidR="00C31888" w:rsidRPr="005563FC" w:rsidRDefault="00C3188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98FC034" w14:textId="77777777" w:rsidR="00C31888" w:rsidRPr="005563FC" w:rsidRDefault="00C3188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31888" w:rsidRPr="005563FC" w14:paraId="25BB74A0" w14:textId="77777777">
        <w:trPr>
          <w:trHeight w:val="1084"/>
        </w:trPr>
        <w:tc>
          <w:tcPr>
            <w:tcW w:w="5000" w:type="pct"/>
          </w:tcPr>
          <w:p w14:paraId="58E27A89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383C106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090C231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C76C8C9" w14:textId="77777777" w:rsidR="00C31888" w:rsidRPr="005563FC" w:rsidRDefault="00C3188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7401B1F0" w14:textId="77777777" w:rsidR="00C31888" w:rsidRPr="005563FC" w:rsidRDefault="00C3188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0144C30" w14:textId="77777777" w:rsidR="00C31888" w:rsidRPr="005563FC" w:rsidRDefault="00C3188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2375F7E4" w14:textId="77777777" w:rsidR="00C31888" w:rsidRPr="005563FC" w:rsidRDefault="00C31888" w:rsidP="00C31888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C31888" w:rsidRPr="00370172" w14:paraId="7E6E0D9F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FB3BE2A" w14:textId="77777777" w:rsidR="00C31888" w:rsidRPr="005563FC" w:rsidRDefault="00C3188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2D935762" w14:textId="77777777" w:rsidR="00C31888" w:rsidRPr="005563FC" w:rsidRDefault="00C3188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088C037A" w14:textId="77777777" w:rsidR="00C31888" w:rsidRPr="005563FC" w:rsidRDefault="00C3188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C31888" w:rsidRPr="0056005D" w14:paraId="66FDBC14" w14:textId="77777777">
        <w:trPr>
          <w:trHeight w:val="1414"/>
        </w:trPr>
        <w:tc>
          <w:tcPr>
            <w:tcW w:w="1416" w:type="pct"/>
          </w:tcPr>
          <w:p w14:paraId="5F0D96B4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275B60AB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7983B76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62E18AD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1757399" w14:textId="77777777" w:rsidR="00C31888" w:rsidRPr="005563FC" w:rsidRDefault="00C3188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21E08AC0" w14:textId="583321E8" w:rsidR="00C31888" w:rsidRPr="005563FC" w:rsidRDefault="00D026C4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19 Ogos</w:t>
            </w:r>
            <w:r w:rsidR="00C31888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3E37BD3E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7B63D706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03D09C6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0ACCFDE" w14:textId="77777777" w:rsidR="00C31888" w:rsidRPr="005563FC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0AF3073" w14:textId="77777777" w:rsidR="00C31888" w:rsidRPr="005563FC" w:rsidRDefault="00C3188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BE2531D" w14:textId="244BACA1" w:rsidR="00C31888" w:rsidRPr="00D026C4" w:rsidRDefault="00D026C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026C4">
              <w:rPr>
                <w:rFonts w:eastAsia="MS Mincho"/>
                <w:sz w:val="18"/>
                <w:szCs w:val="18"/>
                <w:lang w:val="sv-SE"/>
              </w:rPr>
              <w:t>19 Ogos 2025</w:t>
            </w:r>
          </w:p>
        </w:tc>
        <w:tc>
          <w:tcPr>
            <w:tcW w:w="1989" w:type="pct"/>
          </w:tcPr>
          <w:p w14:paraId="149B72BD" w14:textId="77777777" w:rsidR="00C31888" w:rsidRPr="00814873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A8D76CE" w14:textId="77777777" w:rsidR="00C31888" w:rsidRPr="00814873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01394E1" w14:textId="77777777" w:rsidR="00C31888" w:rsidRPr="00814873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A433F9F" w14:textId="77777777" w:rsidR="00C31888" w:rsidRPr="0056005D" w:rsidRDefault="00C3188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60ECA654" w14:textId="77777777" w:rsidR="00C31888" w:rsidRPr="0056005D" w:rsidRDefault="00C3188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71B5D01C" w14:textId="6F913268" w:rsidR="00C31888" w:rsidRPr="0056005D" w:rsidRDefault="00D026C4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D026C4">
              <w:rPr>
                <w:rFonts w:eastAsia="MS Mincho"/>
                <w:sz w:val="18"/>
                <w:szCs w:val="18"/>
                <w:lang w:val="sv-SE"/>
              </w:rPr>
              <w:t>19 Ogos 2025</w:t>
            </w:r>
          </w:p>
        </w:tc>
      </w:tr>
      <w:bookmarkEnd w:id="2"/>
    </w:tbl>
    <w:p w14:paraId="5DB066CE" w14:textId="77777777" w:rsidR="00C31888" w:rsidRDefault="00C31888"/>
    <w:sectPr w:rsidR="00C31888" w:rsidSect="00C31888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5C3"/>
    <w:multiLevelType w:val="hybridMultilevel"/>
    <w:tmpl w:val="21229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8677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88"/>
    <w:rsid w:val="000857B7"/>
    <w:rsid w:val="000D165B"/>
    <w:rsid w:val="00370172"/>
    <w:rsid w:val="00C31888"/>
    <w:rsid w:val="00CC460B"/>
    <w:rsid w:val="00D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5E1B"/>
  <w15:chartTrackingRefBased/>
  <w15:docId w15:val="{CD64FA54-9607-4D06-9397-6AEF6CD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88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3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3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8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026C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026C4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14732-7A6C-4731-8DB8-9C9BAC7DA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2655-83F1-4004-ADF4-5C470DC0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81799-BFB2-4C66-8A79-8686A93138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2025-08-19T03:35:00Z</dcterms:created>
  <dcterms:modified xsi:type="dcterms:W3CDTF">2025-08-20T02:30:00Z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