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A9E16" w14:textId="77777777" w:rsidR="000E06AF" w:rsidRPr="005563FC" w:rsidRDefault="000E06AF" w:rsidP="000E06A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192FA157" w14:textId="77777777" w:rsidR="000E06AF" w:rsidRPr="005563FC" w:rsidRDefault="000E06AF" w:rsidP="000E06A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534D3715" w14:textId="77777777" w:rsidR="000E06AF" w:rsidRPr="005563FC" w:rsidRDefault="000E06AF" w:rsidP="000E06A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0E06AF" w:rsidRPr="004B738E" w14:paraId="314526F2" w14:textId="77777777" w:rsidTr="005C4FB6">
        <w:trPr>
          <w:trHeight w:val="19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0E79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5031CBC" w14:textId="77777777" w:rsidR="000E06AF" w:rsidRPr="005563FC" w:rsidRDefault="000E06AF" w:rsidP="005C4FB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3DE7" w14:textId="77777777" w:rsidR="000E06AF" w:rsidRPr="005563FC" w:rsidRDefault="000E06AF" w:rsidP="005C4FB6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70BD8614" w14:textId="1A75FF1B" w:rsidR="000E06AF" w:rsidRDefault="000E06AF" w:rsidP="005C4FB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 di Affin Bank Berhad (AFFIN)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di sebanyak RM</w:t>
            </w:r>
            <w:r>
              <w:rPr>
                <w:sz w:val="18"/>
                <w:szCs w:val="18"/>
                <w:lang w:val="ms-MY"/>
              </w:rPr>
              <w:t>4,</w:t>
            </w:r>
            <w:r>
              <w:rPr>
                <w:sz w:val="18"/>
                <w:szCs w:val="18"/>
                <w:lang w:val="ms-MY"/>
              </w:rPr>
              <w:t>171,286.89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13</w:t>
            </w:r>
            <w:r>
              <w:rPr>
                <w:sz w:val="18"/>
                <w:szCs w:val="18"/>
                <w:lang w:val="ms-MY"/>
              </w:rPr>
              <w:t xml:space="preserve">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.  </w:t>
            </w:r>
          </w:p>
          <w:p w14:paraId="31CDB231" w14:textId="77777777" w:rsidR="000E06AF" w:rsidRPr="001D356F" w:rsidRDefault="000E06AF" w:rsidP="005C4FB6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3B39BE45" w14:textId="2F0CA071" w:rsidR="000E06AF" w:rsidRPr="002B750C" w:rsidRDefault="000E06AF" w:rsidP="005C4FB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>
              <w:rPr>
                <w:sz w:val="18"/>
                <w:szCs w:val="18"/>
                <w:lang w:val="ms-MY"/>
              </w:rPr>
              <w:t>di Affin Bank Berhad (AFFIN</w:t>
            </w:r>
            <w:r>
              <w:rPr>
                <w:sz w:val="18"/>
                <w:szCs w:val="18"/>
                <w:lang w:val="ms-MY"/>
              </w:rPr>
              <w:t>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8,342,573.78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13</w:t>
            </w:r>
            <w:r>
              <w:rPr>
                <w:sz w:val="18"/>
                <w:szCs w:val="18"/>
                <w:lang w:val="ms-MY"/>
              </w:rPr>
              <w:t xml:space="preserve">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0E06AF" w:rsidRPr="005563FC" w14:paraId="401A4882" w14:textId="77777777" w:rsidTr="005C4FB6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F80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D37D651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2F1" w14:textId="77777777" w:rsidR="000E06AF" w:rsidRPr="005563FC" w:rsidRDefault="000E06AF" w:rsidP="005C4FB6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Oktober 2024</w:t>
            </w:r>
          </w:p>
        </w:tc>
      </w:tr>
      <w:tr w:rsidR="000E06AF" w:rsidRPr="00CB395E" w14:paraId="319AC2B2" w14:textId="77777777" w:rsidTr="005C4FB6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EB7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36760401" w14:textId="77777777" w:rsidR="000E06AF" w:rsidRPr="005563FC" w:rsidRDefault="000E06AF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65D0" w14:textId="58DB5A4E" w:rsidR="000E06AF" w:rsidRDefault="000E06AF" w:rsidP="005C4FB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8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A42D965" w14:textId="28820CAF" w:rsidR="000E06AF" w:rsidRPr="005563FC" w:rsidRDefault="000E06AF" w:rsidP="005C4FB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857368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3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,381,147,92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.</w:t>
            </w:r>
          </w:p>
        </w:tc>
      </w:tr>
      <w:tr w:rsidR="000E06AF" w:rsidRPr="004B738E" w14:paraId="5ED563B6" w14:textId="77777777" w:rsidTr="000E06AF">
        <w:trPr>
          <w:trHeight w:val="40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9B0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716924E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B1C" w14:textId="4A5E6115" w:rsidR="000E06AF" w:rsidRDefault="000E06AF" w:rsidP="005C4FB6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>pembangunan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Oktober sehingga </w:t>
            </w:r>
            <w:r>
              <w:rPr>
                <w:sz w:val="18"/>
                <w:szCs w:val="18"/>
                <w:lang w:val="ms-MY"/>
              </w:rPr>
              <w:t>12</w:t>
            </w:r>
            <w:r>
              <w:rPr>
                <w:sz w:val="18"/>
                <w:szCs w:val="18"/>
                <w:lang w:val="ms-MY"/>
              </w:rPr>
              <w:t xml:space="preserve"> November 2024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0E06AF" w:rsidRPr="004B738E" w14:paraId="57CB5FF1" w14:textId="77777777" w:rsidTr="005C4FB6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EA083AA" w14:textId="77777777" w:rsidR="000E06AF" w:rsidRPr="001E330D" w:rsidRDefault="000E06AF" w:rsidP="005C4FB6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EE8106F" w14:textId="6317FAE9" w:rsidR="000E06AF" w:rsidRPr="001E330D" w:rsidRDefault="000E06AF" w:rsidP="005C4FB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Oktober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0E06AF" w:rsidRPr="004B738E" w14:paraId="743DA7D7" w14:textId="77777777" w:rsidTr="005C4FB6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02C96DD" w14:textId="77777777" w:rsidR="000E06AF" w:rsidRPr="001E330D" w:rsidRDefault="000E06AF" w:rsidP="005C4FB6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39A46EDB" w14:textId="1D9F21E8" w:rsidR="000E06AF" w:rsidRPr="001E330D" w:rsidRDefault="000E06AF" w:rsidP="005C4FB6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7</w:t>
                  </w:r>
                  <w:r>
                    <w:rPr>
                      <w:sz w:val="18"/>
                      <w:szCs w:val="18"/>
                      <w:lang w:val="ms-MY"/>
                    </w:rPr>
                    <w:t>,</w:t>
                  </w:r>
                  <w:r>
                    <w:rPr>
                      <w:sz w:val="18"/>
                      <w:szCs w:val="18"/>
                      <w:lang w:val="ms-MY"/>
                    </w:rPr>
                    <w:t>5</w:t>
                  </w:r>
                  <w:r>
                    <w:rPr>
                      <w:sz w:val="18"/>
                      <w:szCs w:val="18"/>
                      <w:lang w:val="ms-MY"/>
                    </w:rPr>
                    <w:t>00,000.00</w:t>
                  </w:r>
                </w:p>
              </w:tc>
            </w:tr>
            <w:tr w:rsidR="000E06AF" w:rsidRPr="004B738E" w14:paraId="173D88C5" w14:textId="77777777" w:rsidTr="005C4FB6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C605692" w14:textId="77777777" w:rsidR="000E06AF" w:rsidRPr="001E330D" w:rsidRDefault="000E06AF" w:rsidP="005C4FB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16E62C48" w14:textId="6334EA16" w:rsidR="000E06AF" w:rsidRPr="001E330D" w:rsidRDefault="000E06AF" w:rsidP="005C4FB6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7,</w:t>
                  </w: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5</w:t>
                  </w: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00</w:t>
                  </w: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</w:tbl>
          <w:p w14:paraId="2EB4B367" w14:textId="77777777" w:rsidR="000E06AF" w:rsidRPr="001E330D" w:rsidRDefault="000E06AF" w:rsidP="005C4FB6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655334FB" w14:textId="757FFA73" w:rsidR="000E06AF" w:rsidRPr="001E330D" w:rsidRDefault="000E06AF" w:rsidP="005C4FB6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 xml:space="preserve">Oktober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442474B9" w14:textId="77777777" w:rsidR="000E06AF" w:rsidRPr="001E330D" w:rsidRDefault="000E06AF" w:rsidP="005C4FB6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0E06AF" w:rsidRPr="002B750C" w14:paraId="374F7FBA" w14:textId="77777777" w:rsidTr="000E06AF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59EBA7E" w14:textId="77777777" w:rsidR="000E06AF" w:rsidRPr="008521EC" w:rsidRDefault="000E06AF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5655314" w14:textId="77777777" w:rsidR="000E06AF" w:rsidRPr="008521EC" w:rsidRDefault="000E06AF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4B312844" w14:textId="77777777" w:rsidR="000E06AF" w:rsidRPr="008521EC" w:rsidRDefault="000E06AF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7E2983D" w14:textId="77777777" w:rsidR="000E06AF" w:rsidRPr="008521EC" w:rsidRDefault="000E06AF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AF72658" w14:textId="77777777" w:rsidR="000E06AF" w:rsidRPr="008521EC" w:rsidRDefault="000E06AF" w:rsidP="005C4FB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4686AAB3" w14:textId="77777777" w:rsidR="000E06AF" w:rsidRPr="008521EC" w:rsidRDefault="000E06AF" w:rsidP="005C4FB6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0E06AF" w:rsidRPr="004B738E" w14:paraId="69B3720D" w14:textId="77777777" w:rsidTr="000E06AF">
              <w:trPr>
                <w:trHeight w:val="103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FE3CF38" w14:textId="77777777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E06AF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1919093" w14:textId="3713675D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86453B6" w14:textId="101ABBBA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>30-595-004327-8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BEC2DB5" w14:textId="2CF86145" w:rsidR="000E06AF" w:rsidRPr="000E06AF" w:rsidRDefault="000E06AF" w:rsidP="000E06A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0E06AF">
                    <w:rPr>
                      <w:sz w:val="18"/>
                      <w:szCs w:val="18"/>
                    </w:rPr>
                    <w:t>4,171,286.89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EA24243" w14:textId="10186B4C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>13/10/2024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51D4BF15" w14:textId="77777777" w:rsidR="000E06AF" w:rsidRPr="000E06AF" w:rsidRDefault="000E06AF" w:rsidP="000E06A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0E06AF" w:rsidRPr="004B738E" w14:paraId="5539418D" w14:textId="77777777" w:rsidTr="000E06AF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42B4C5E" w14:textId="77777777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C1D7E5A" w14:textId="7E712962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2851220" w14:textId="6CA08C16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>30-595-004328-1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614F76B" w14:textId="4FB84C30" w:rsidR="000E06AF" w:rsidRPr="000E06AF" w:rsidRDefault="000E06AF" w:rsidP="000E06A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sz w:val="18"/>
                      <w:szCs w:val="18"/>
                    </w:rPr>
                    <w:t>4,171,286.89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D649AA4" w14:textId="13D90992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>13/10/2024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078D5D19" w14:textId="2BCA5B7E" w:rsidR="000E06AF" w:rsidRPr="000E06AF" w:rsidRDefault="000E06AF" w:rsidP="000E06A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0E06AF" w:rsidRPr="004B738E" w14:paraId="246EFABA" w14:textId="77777777" w:rsidTr="000E06AF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094A447" w14:textId="77777777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316EFA68" w14:textId="564D8332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09892D9E" w14:textId="662B06B3" w:rsidR="000E06AF" w:rsidRPr="000E06AF" w:rsidRDefault="000E06AF" w:rsidP="000E06A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>30-595-004329-4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6EA7C4F6" w14:textId="6C4FA926" w:rsidR="000E06AF" w:rsidRPr="000E06AF" w:rsidRDefault="000E06AF" w:rsidP="000E06A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E06AF">
                    <w:rPr>
                      <w:sz w:val="18"/>
                      <w:szCs w:val="18"/>
                    </w:rPr>
                    <w:t>4,171,286.89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353C04E8" w14:textId="0850DA0B" w:rsidR="000E06AF" w:rsidRPr="000E06AF" w:rsidRDefault="000E06AF" w:rsidP="000E06A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color w:val="000000"/>
                      <w:sz w:val="18"/>
                      <w:szCs w:val="18"/>
                    </w:rPr>
                    <w:t>13/10/2024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5A9515B7" w14:textId="77777777" w:rsidR="000E06AF" w:rsidRPr="000E06AF" w:rsidRDefault="000E06AF" w:rsidP="000E06A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E06AF">
                    <w:rPr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480765B3" w14:textId="77777777" w:rsidR="000E06AF" w:rsidRPr="00DF444F" w:rsidRDefault="000E06AF" w:rsidP="005C4FB6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0E06AF" w:rsidRPr="00687674" w14:paraId="5DFB8A9E" w14:textId="77777777" w:rsidTr="000E06AF">
        <w:trPr>
          <w:trHeight w:val="41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53C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49BE69A6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C1" w14:textId="77777777" w:rsidR="000E06AF" w:rsidRPr="00B74DF3" w:rsidRDefault="000E06AF" w:rsidP="005C4FB6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650BE1B8" w14:textId="77777777" w:rsidR="000E06AF" w:rsidRPr="00B74DF3" w:rsidRDefault="000E06AF" w:rsidP="005C4FB6">
            <w:pPr>
              <w:rPr>
                <w:sz w:val="18"/>
                <w:szCs w:val="18"/>
                <w:lang w:val="ms-MY"/>
              </w:rPr>
            </w:pPr>
          </w:p>
          <w:p w14:paraId="13DF463C" w14:textId="4A93B7B7" w:rsidR="000E06AF" w:rsidRPr="00B74DF3" w:rsidRDefault="000E06AF" w:rsidP="005C4FB6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 w:rsidR="00857368"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0E06AF" w:rsidRPr="00C03FBE" w14:paraId="24D3090B" w14:textId="77777777" w:rsidTr="005C4FB6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7961EF8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52F129E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EA216D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61106E5" w14:textId="77777777" w:rsidR="000E06AF" w:rsidRPr="00C03FBE" w:rsidRDefault="000E06AF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06427728" w14:textId="77777777" w:rsidR="000E06AF" w:rsidRPr="00C03FBE" w:rsidRDefault="000E06AF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EE1E5AA" w14:textId="77777777" w:rsidR="000E06AF" w:rsidRPr="00C03FBE" w:rsidRDefault="000E06AF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7B348412" w14:textId="77777777" w:rsidR="000E06AF" w:rsidRPr="00C03FBE" w:rsidRDefault="000E06AF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8BB9429" w14:textId="77777777" w:rsidR="000E06AF" w:rsidRPr="00C03FBE" w:rsidRDefault="000E06AF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3F2FB8D8" w14:textId="77777777" w:rsidR="000E06AF" w:rsidRPr="00C03FBE" w:rsidRDefault="000E06AF" w:rsidP="005C4FB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0E06AF" w14:paraId="1837FECD" w14:textId="77777777" w:rsidTr="005C4FB6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F0EA4EA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7FD98E81" w14:textId="104CAB6D" w:rsidR="000E06AF" w:rsidRPr="00490E61" w:rsidRDefault="00490E61" w:rsidP="005C4FB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490E61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490E61">
                    <w:rPr>
                      <w:sz w:val="18"/>
                      <w:szCs w:val="18"/>
                    </w:rPr>
                    <w:t xml:space="preserve"> Islamic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83CE179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2A2CD7A" w14:textId="77777777" w:rsidR="000E06AF" w:rsidRPr="00C03FBE" w:rsidRDefault="000E06AF" w:rsidP="005C4FB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AB19817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A246ADE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224AF8C" w14:textId="77777777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46F7317" w14:textId="256A1179" w:rsidR="000E06AF" w:rsidRPr="00C03FBE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490E61">
                    <w:rPr>
                      <w:sz w:val="18"/>
                      <w:szCs w:val="18"/>
                      <w:lang w:val="sv-SE"/>
                    </w:rPr>
                    <w:t>65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329EFC0B" w14:textId="77777777" w:rsidR="000E06AF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0E06AF" w14:paraId="5B05C88A" w14:textId="77777777" w:rsidTr="005C4FB6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736B8EB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960DCEC" w14:textId="71670D98" w:rsidR="000E06AF" w:rsidRPr="00E3749D" w:rsidRDefault="00490E61" w:rsidP="005C4FB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490E61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490E61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490E61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4082380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746B034" w14:textId="77777777" w:rsidR="000E06AF" w:rsidRDefault="000E06AF" w:rsidP="005C4FB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DE29867" w14:textId="77777777" w:rsidR="000E06AF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8FD7545" w14:textId="77777777" w:rsidR="000E06AF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E88A757" w14:textId="77777777" w:rsidR="000E06AF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B889530" w14:textId="6279ED98" w:rsidR="000E06AF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490E61"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71D03172" w14:textId="77777777" w:rsidR="000E06AF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0E06AF" w:rsidRPr="00DF4769" w14:paraId="104E6FE0" w14:textId="77777777" w:rsidTr="005C4FB6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7EB4628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67EF0ED9" w14:textId="77777777" w:rsidR="000E06AF" w:rsidRPr="00E3749D" w:rsidRDefault="000E06AF" w:rsidP="005C4FB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OCBC Bank (Malaysia)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9197C03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1B76F7C" w14:textId="77777777" w:rsidR="000E06AF" w:rsidRPr="00DF4769" w:rsidRDefault="000E06AF" w:rsidP="005C4FB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53CAD35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3CD96D4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1203548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BA8E525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596B9C0C" w14:textId="77777777" w:rsidR="000E06AF" w:rsidRPr="00DF4769" w:rsidRDefault="000E06AF" w:rsidP="005C4FB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2.60%</w:t>
                  </w:r>
                </w:p>
              </w:tc>
            </w:tr>
          </w:tbl>
          <w:p w14:paraId="2C268CFD" w14:textId="77777777" w:rsidR="000E06AF" w:rsidRPr="001B26D2" w:rsidRDefault="000E06AF" w:rsidP="005C4FB6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0E06AF" w:rsidRPr="005563FC" w14:paraId="22DABC65" w14:textId="77777777" w:rsidTr="005C4FB6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BEE5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C051575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12B" w14:textId="77777777" w:rsidR="000E06AF" w:rsidRPr="005563FC" w:rsidRDefault="000E06AF" w:rsidP="005C4FB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0E06AF" w:rsidRPr="004B738E" w14:paraId="4B7F1930" w14:textId="77777777" w:rsidTr="005C4FB6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624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515F671" w14:textId="77777777" w:rsidR="000E06AF" w:rsidRPr="005563FC" w:rsidRDefault="000E06AF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BD8" w14:textId="15D00677" w:rsidR="000E06AF" w:rsidRPr="005563FC" w:rsidRDefault="000E06AF" w:rsidP="005C4FB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0E06AF" w:rsidRPr="004B738E" w14:paraId="033F0CDD" w14:textId="77777777" w:rsidTr="005C4FB6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175C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2CEB04DB" w14:textId="77777777" w:rsidR="000E06AF" w:rsidRPr="005563FC" w:rsidRDefault="000E06AF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6A1" w14:textId="77777777" w:rsidR="000E06AF" w:rsidRPr="005563FC" w:rsidRDefault="000E06AF" w:rsidP="005C4FB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0E06AF" w:rsidRPr="005563FC" w14:paraId="4CBFD2AD" w14:textId="77777777" w:rsidTr="005C4FB6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CC1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51A4E0DF" w14:textId="77777777" w:rsidR="000E06AF" w:rsidRPr="005563FC" w:rsidRDefault="000E06AF" w:rsidP="005C4FB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A3CD" w14:textId="77777777" w:rsidR="000E06AF" w:rsidRPr="005563FC" w:rsidRDefault="000E06AF" w:rsidP="005C4FB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0E06AF" w:rsidRPr="005563FC" w14:paraId="1D9B934E" w14:textId="77777777" w:rsidTr="005C4FB6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2391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B1B6105" w14:textId="77777777" w:rsidR="000E06AF" w:rsidRPr="005563FC" w:rsidRDefault="000E06AF" w:rsidP="005C4FB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3A8" w14:textId="77777777" w:rsidR="000E06AF" w:rsidRPr="005563FC" w:rsidRDefault="000E06AF" w:rsidP="005C4FB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0175C1E1" w14:textId="77777777" w:rsidR="000E06AF" w:rsidRPr="005563FC" w:rsidRDefault="000E06AF" w:rsidP="005C4FB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0E06AF" w:rsidRPr="004B738E" w14:paraId="7427E5B0" w14:textId="77777777" w:rsidTr="005C4FB6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E483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D415E60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6F2" w14:textId="77777777" w:rsidR="000E06AF" w:rsidRDefault="000E06AF" w:rsidP="005C4FB6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1EB5F53D" w14:textId="77777777" w:rsidR="000E06AF" w:rsidRDefault="000E06AF" w:rsidP="005C4FB6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458DD809" w14:textId="77777777" w:rsidR="000E06AF" w:rsidRDefault="000E06AF" w:rsidP="005C4FB6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DA5B7EB" w14:textId="77777777" w:rsidR="000E06AF" w:rsidRDefault="000E06AF" w:rsidP="005C4FB6">
            <w:pPr>
              <w:rPr>
                <w:sz w:val="18"/>
                <w:szCs w:val="18"/>
                <w:lang w:val="sv-SE" w:eastAsia="en-MY"/>
              </w:rPr>
            </w:pPr>
          </w:p>
          <w:p w14:paraId="098DACBC" w14:textId="77777777" w:rsidR="000E06AF" w:rsidRDefault="000E06AF" w:rsidP="005C4FB6">
            <w:pPr>
              <w:rPr>
                <w:sz w:val="18"/>
                <w:szCs w:val="18"/>
                <w:lang w:val="sv-SE" w:eastAsia="en-MY"/>
              </w:rPr>
            </w:pPr>
          </w:p>
          <w:p w14:paraId="1B284D3D" w14:textId="77777777" w:rsidR="000E06AF" w:rsidRPr="00DD6A94" w:rsidRDefault="000E06AF" w:rsidP="005C4FB6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0E06AF" w:rsidRPr="004B738E" w14:paraId="31F813F8" w14:textId="77777777" w:rsidTr="005C4FB6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A8C" w14:textId="77777777" w:rsidR="000E06AF" w:rsidRPr="005563FC" w:rsidRDefault="000E06AF" w:rsidP="005C4FB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206EF34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FA1" w14:textId="77777777" w:rsidR="000E06AF" w:rsidRPr="005563FC" w:rsidRDefault="000E06AF" w:rsidP="005C4F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0AE029AF" w14:textId="378EEFB5" w:rsidR="000E06AF" w:rsidRDefault="000E06AF" w:rsidP="000E06A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di Affin Bank Berhad (AFFIN) </w:t>
            </w:r>
            <w:r w:rsidRPr="005563FC">
              <w:rPr>
                <w:sz w:val="18"/>
                <w:szCs w:val="18"/>
                <w:lang w:val="ms-MY"/>
              </w:rPr>
              <w:t>di sebanyak RM</w:t>
            </w:r>
            <w:r>
              <w:rPr>
                <w:sz w:val="18"/>
                <w:szCs w:val="18"/>
                <w:lang w:val="ms-MY"/>
              </w:rPr>
              <w:t xml:space="preserve">4,171,286.89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13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.  </w:t>
            </w:r>
          </w:p>
          <w:p w14:paraId="54ABE42F" w14:textId="77777777" w:rsidR="000E06AF" w:rsidRPr="001D356F" w:rsidRDefault="000E06AF" w:rsidP="000E06AF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46547ACE" w14:textId="615DAF19" w:rsidR="000E06AF" w:rsidRPr="000B298A" w:rsidRDefault="000E06AF" w:rsidP="000E06A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di Affin Bank Berhad (AFFIN)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8,342,573.78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13 Oktober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0E06AF" w:rsidRPr="005563FC" w14:paraId="19EA7220" w14:textId="77777777" w:rsidTr="005C4FB6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07C" w14:textId="77777777" w:rsidR="000E06AF" w:rsidRPr="005563FC" w:rsidRDefault="000E06AF" w:rsidP="005C4FB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F225" w14:textId="77777777" w:rsidR="000E06AF" w:rsidRPr="005563FC" w:rsidRDefault="000E06AF" w:rsidP="005C4FB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5228F2B1" w14:textId="77777777" w:rsidR="000E06AF" w:rsidRDefault="000E06AF" w:rsidP="000E06AF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7F34B91" w14:textId="77777777" w:rsidR="000E06AF" w:rsidRDefault="000E06AF" w:rsidP="000E06A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BA6B64C" w14:textId="77777777" w:rsidR="000E06AF" w:rsidRDefault="000E06AF" w:rsidP="000E06A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65AC330F" w14:textId="77777777" w:rsidR="000E06AF" w:rsidRDefault="000E06AF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65443C">
        <w:rPr>
          <w:sz w:val="18"/>
          <w:szCs w:val="18"/>
          <w:lang w:val="sv-SE"/>
        </w:rPr>
        <w:drawing>
          <wp:inline distT="0" distB="0" distL="0" distR="0" wp14:anchorId="2CA17BCD" wp14:editId="4A174150">
            <wp:extent cx="5308600" cy="1942345"/>
            <wp:effectExtent l="0" t="0" r="6350" b="1270"/>
            <wp:docPr id="19899079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0797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3363" cy="19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2B3DB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497887A8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7F665E3E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7E67FCDD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59AC8A42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17777151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1160F63A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626A52F2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3A0E54DF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2B27C999" w14:textId="77777777" w:rsidR="00531313" w:rsidRDefault="00531313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1A2FC229" w14:textId="77777777" w:rsidR="000E06AF" w:rsidRDefault="000E06AF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35384E1A" w14:textId="77777777" w:rsidR="000E06AF" w:rsidRDefault="000E06AF" w:rsidP="000E06A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C18FF8E" w14:textId="77777777" w:rsidR="000E06AF" w:rsidRDefault="000E06AF" w:rsidP="000E06A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610C8B1" w14:textId="77777777" w:rsidR="000E06AF" w:rsidRDefault="000E06AF" w:rsidP="000E06AF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CF033E5" w14:textId="77777777" w:rsidR="000E06AF" w:rsidRDefault="000E06AF" w:rsidP="000E06AF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D356F">
        <w:rPr>
          <w:noProof/>
          <w14:ligatures w14:val="standardContextual"/>
        </w:rPr>
        <w:lastRenderedPageBreak/>
        <w:t xml:space="preserve"> </w:t>
      </w:r>
      <w:r w:rsidRPr="00E3749D">
        <w:rPr>
          <w:noProof/>
          <w14:ligatures w14:val="standardContextual"/>
        </w:rPr>
        <w:drawing>
          <wp:inline distT="0" distB="0" distL="0" distR="0" wp14:anchorId="79316BBB" wp14:editId="39280A19">
            <wp:extent cx="5327650" cy="2023499"/>
            <wp:effectExtent l="0" t="0" r="6350" b="0"/>
            <wp:docPr id="212660452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604523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1852" cy="204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3D34D" w14:textId="77777777" w:rsidR="000E06AF" w:rsidRDefault="000E06AF" w:rsidP="000E06AF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7BCDF53B" w14:textId="77777777" w:rsidR="000E06AF" w:rsidRDefault="000E06AF" w:rsidP="000E06AF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  <w:r w:rsidRPr="00E3749D">
        <w:rPr>
          <w:sz w:val="18"/>
          <w:szCs w:val="18"/>
          <w:lang w:val="sv-SE"/>
        </w:rPr>
        <w:drawing>
          <wp:inline distT="0" distB="0" distL="0" distR="0" wp14:anchorId="0898023E" wp14:editId="4A9AB0F5">
            <wp:extent cx="5199565" cy="1695450"/>
            <wp:effectExtent l="0" t="0" r="1270" b="0"/>
            <wp:docPr id="10476674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6747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8847" cy="17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5C47B" w14:textId="77777777" w:rsidR="000E06AF" w:rsidRDefault="000E06AF" w:rsidP="000E06AF">
      <w:pPr>
        <w:tabs>
          <w:tab w:val="left" w:pos="3300"/>
        </w:tabs>
        <w:rPr>
          <w:sz w:val="18"/>
          <w:szCs w:val="18"/>
          <w:lang w:val="sv-SE"/>
        </w:rPr>
      </w:pPr>
    </w:p>
    <w:p w14:paraId="3A8F79D3" w14:textId="77777777" w:rsidR="000E06AF" w:rsidRDefault="000E06AF" w:rsidP="000E06AF">
      <w:pPr>
        <w:tabs>
          <w:tab w:val="left" w:pos="3300"/>
        </w:tabs>
        <w:rPr>
          <w:sz w:val="18"/>
          <w:szCs w:val="18"/>
          <w:lang w:val="sv-SE"/>
        </w:rPr>
      </w:pPr>
    </w:p>
    <w:p w14:paraId="2D417702" w14:textId="77777777" w:rsidR="000E06AF" w:rsidRPr="005563FC" w:rsidRDefault="000E06AF" w:rsidP="000E06AF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0E06AF" w:rsidRPr="004B738E" w14:paraId="1FB498D1" w14:textId="77777777" w:rsidTr="005C4FB6">
        <w:trPr>
          <w:trHeight w:val="669"/>
        </w:trPr>
        <w:tc>
          <w:tcPr>
            <w:tcW w:w="5000" w:type="pct"/>
            <w:shd w:val="clear" w:color="auto" w:fill="D9E2F3"/>
          </w:tcPr>
          <w:p w14:paraId="437F5C05" w14:textId="77777777" w:rsidR="000E06AF" w:rsidRPr="005563FC" w:rsidRDefault="000E06AF" w:rsidP="005C4FB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07FA12EC" w14:textId="77777777" w:rsidR="000E06AF" w:rsidRPr="005563FC" w:rsidRDefault="000E06AF" w:rsidP="005C4FB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0E06AF" w:rsidRPr="005563FC" w14:paraId="1554AC9D" w14:textId="77777777" w:rsidTr="005C4FB6">
        <w:trPr>
          <w:trHeight w:val="1084"/>
        </w:trPr>
        <w:tc>
          <w:tcPr>
            <w:tcW w:w="5000" w:type="pct"/>
            <w:shd w:val="clear" w:color="auto" w:fill="auto"/>
          </w:tcPr>
          <w:p w14:paraId="6E573C6D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3B60BC6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9EE6D3E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AE1B3D8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FBD5AE1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E545BDB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6C6EC485" w14:textId="77777777" w:rsidR="000E06AF" w:rsidRPr="005563FC" w:rsidRDefault="000E06AF" w:rsidP="000E06AF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0E06AF" w:rsidRPr="004B738E" w14:paraId="51CCA07C" w14:textId="77777777" w:rsidTr="005C4FB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0761913" w14:textId="77777777" w:rsidR="000E06AF" w:rsidRPr="005563FC" w:rsidRDefault="000E06AF" w:rsidP="005C4FB6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DACEA5B" w14:textId="77777777" w:rsidR="000E06AF" w:rsidRPr="005563FC" w:rsidRDefault="000E06AF" w:rsidP="005C4FB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6DA79A05" w14:textId="77777777" w:rsidR="000E06AF" w:rsidRPr="00321616" w:rsidRDefault="000E06AF" w:rsidP="005C4FB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0E06AF" w:rsidRPr="005563FC" w14:paraId="3A556129" w14:textId="77777777" w:rsidTr="005C4FB6">
        <w:trPr>
          <w:trHeight w:val="1414"/>
        </w:trPr>
        <w:tc>
          <w:tcPr>
            <w:tcW w:w="1416" w:type="pct"/>
            <w:shd w:val="clear" w:color="auto" w:fill="auto"/>
          </w:tcPr>
          <w:p w14:paraId="323599D4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D5B1941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AE4B824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3791BA3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8261EE6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397C1993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Oktober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68EDE2D5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0923FBB2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47B87DF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218564B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0AB364C0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F2CC3A3" w14:textId="77777777" w:rsidR="000E06AF" w:rsidRPr="002B750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0E06AF">
              <w:rPr>
                <w:rFonts w:eastAsia="MS Mincho"/>
                <w:sz w:val="18"/>
                <w:szCs w:val="18"/>
                <w:lang w:val="sv-SE"/>
              </w:rPr>
              <w:t>8 Oktober 2024</w:t>
            </w:r>
          </w:p>
        </w:tc>
        <w:tc>
          <w:tcPr>
            <w:tcW w:w="1989" w:type="pct"/>
          </w:tcPr>
          <w:p w14:paraId="135A0C4D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00968F6A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B0873C8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E4E81D1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24D7232E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6C6D5B53" w14:textId="77777777" w:rsidR="000E06AF" w:rsidRPr="005563FC" w:rsidRDefault="000E06AF" w:rsidP="005C4FB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8 Oktober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1"/>
    </w:tbl>
    <w:p w14:paraId="787D2BD8" w14:textId="77777777" w:rsidR="000E06AF" w:rsidRPr="005563FC" w:rsidRDefault="000E06AF" w:rsidP="000E06AF">
      <w:pPr>
        <w:rPr>
          <w:sz w:val="18"/>
          <w:szCs w:val="18"/>
        </w:rPr>
      </w:pPr>
    </w:p>
    <w:p w14:paraId="75080862" w14:textId="77777777" w:rsidR="000E06AF" w:rsidRDefault="000E06AF" w:rsidP="000E06AF"/>
    <w:p w14:paraId="50368ED0" w14:textId="77777777" w:rsidR="000E06AF" w:rsidRDefault="000E06AF" w:rsidP="000E06AF"/>
    <w:p w14:paraId="58119B1A" w14:textId="77777777" w:rsidR="000E06AF" w:rsidRDefault="000E06AF" w:rsidP="000E06AF"/>
    <w:p w14:paraId="3678109C" w14:textId="77777777" w:rsidR="000E06AF" w:rsidRDefault="000E06AF" w:rsidP="000E06AF"/>
    <w:p w14:paraId="3721F42F" w14:textId="77777777" w:rsidR="000E06AF" w:rsidRDefault="000E06AF" w:rsidP="000E06AF"/>
    <w:p w14:paraId="0A3C5BBC" w14:textId="77777777" w:rsidR="000E06AF" w:rsidRDefault="000E06AF"/>
    <w:sectPr w:rsidR="000E06AF" w:rsidSect="000E06AF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AF"/>
    <w:rsid w:val="000E06AF"/>
    <w:rsid w:val="003C1EBD"/>
    <w:rsid w:val="00490E61"/>
    <w:rsid w:val="00531313"/>
    <w:rsid w:val="00623ECF"/>
    <w:rsid w:val="00857368"/>
    <w:rsid w:val="00A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93CC"/>
  <w15:chartTrackingRefBased/>
  <w15:docId w15:val="{0ECA5976-F4F5-4863-807F-FCE9B5B7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A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E0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E0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6AF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6AF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6AF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6AF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6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6A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E06A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E06AF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E5F03-7935-4203-AF22-E65AF9F9A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E615C-91B5-4016-AE2A-85415D44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72F34-558A-47DD-84CD-61EFE46D0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6</cp:revision>
  <cp:lastPrinted>2024-10-08T03:03:00Z</cp:lastPrinted>
  <dcterms:created xsi:type="dcterms:W3CDTF">2024-10-08T02:54:00Z</dcterms:created>
  <dcterms:modified xsi:type="dcterms:W3CDTF">2024-10-08T04:03:00Z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