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27" w:type="dxa"/>
        <w:tblLook w:val="04A0" w:firstRow="1" w:lastRow="0" w:firstColumn="1" w:lastColumn="0" w:noHBand="0" w:noVBand="1"/>
      </w:tblPr>
      <w:tblGrid>
        <w:gridCol w:w="1712"/>
        <w:gridCol w:w="3140"/>
        <w:gridCol w:w="3604"/>
        <w:gridCol w:w="1247"/>
        <w:gridCol w:w="4424"/>
      </w:tblGrid>
      <w:tr w:rsidR="00DD6D76" w:rsidRPr="00DD6D76" w14:paraId="52D0A547" w14:textId="2E647B3A" w:rsidTr="00275462">
        <w:trPr>
          <w:trHeight w:val="36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DD9" w14:textId="77777777" w:rsidR="00DD6D76" w:rsidRPr="00DD6D76" w:rsidRDefault="00DD6D76" w:rsidP="00DD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D6D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Nama: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808C" w14:textId="0AA109E7" w:rsidR="00DD6D76" w:rsidRPr="00DD6D76" w:rsidRDefault="00DD6D76" w:rsidP="00DD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D6D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Aida Farzana Muhammad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5838" w14:textId="77777777" w:rsidR="00DD6D76" w:rsidRPr="00DD6D76" w:rsidRDefault="00DD6D76" w:rsidP="00DD6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429E" w14:textId="77777777" w:rsidR="00DD6D76" w:rsidRPr="00DD6D76" w:rsidRDefault="00DD6D76" w:rsidP="00DD6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5FD82B39" w14:textId="77777777" w:rsidR="00DD6D76" w:rsidRPr="00DD6D76" w:rsidRDefault="00DD6D76" w:rsidP="00DD6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DD6D76" w:rsidRPr="00D0727E" w14:paraId="03E61C7B" w14:textId="02FF0AAB" w:rsidTr="00275462">
        <w:trPr>
          <w:trHeight w:val="36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74A1" w14:textId="77777777" w:rsidR="00DD6D76" w:rsidRPr="00DD6D76" w:rsidRDefault="00DD6D76" w:rsidP="00DD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DD6D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Jawatan</w:t>
            </w:r>
            <w:proofErr w:type="spellEnd"/>
            <w:r w:rsidRPr="00DD6D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042E" w14:textId="5C6A374E" w:rsidR="00DD6D76" w:rsidRPr="000415EE" w:rsidRDefault="00DD6D76" w:rsidP="00DD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0415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Pembantu Tadbir (P/O) Gred N19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1B52" w14:textId="77777777" w:rsidR="00DD6D76" w:rsidRPr="000415EE" w:rsidRDefault="00DD6D76" w:rsidP="00DD6D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04FD" w14:textId="77777777" w:rsidR="00DD6D76" w:rsidRPr="000415EE" w:rsidRDefault="00DD6D76" w:rsidP="00DD6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MY"/>
                <w14:ligatures w14:val="none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0D48F740" w14:textId="77777777" w:rsidR="00DD6D76" w:rsidRPr="000415EE" w:rsidRDefault="00DD6D76" w:rsidP="00DD6D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 w:eastAsia="en-MY"/>
                <w14:ligatures w14:val="none"/>
              </w:rPr>
            </w:pPr>
          </w:p>
        </w:tc>
      </w:tr>
      <w:tr w:rsidR="00DD6D76" w:rsidRPr="00DD6D76" w14:paraId="1E8715C4" w14:textId="7D959055" w:rsidTr="00275462">
        <w:trPr>
          <w:trHeight w:val="1216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84BD"/>
            <w:vAlign w:val="center"/>
            <w:hideMark/>
          </w:tcPr>
          <w:p w14:paraId="0FD941C7" w14:textId="094DD0D1" w:rsidR="00DD6D76" w:rsidRPr="00DD6D76" w:rsidRDefault="00DD6D76" w:rsidP="00DD6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D6D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TUGAS UTAMA/HAKIKI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84BD"/>
            <w:vAlign w:val="center"/>
          </w:tcPr>
          <w:p w14:paraId="1CBD2026" w14:textId="3378AB69" w:rsidR="00DD6D76" w:rsidRPr="00DD6D76" w:rsidRDefault="00DD6D76" w:rsidP="00DD6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TUGAS YANG DITAN</w:t>
            </w:r>
            <w:r w:rsidR="005B446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GUNG</w:t>
            </w:r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 (</w:t>
            </w:r>
            <w:proofErr w:type="spellStart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Tugas</w:t>
            </w:r>
            <w:proofErr w:type="spellEnd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r w:rsidR="00586ED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y</w:t>
            </w:r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ang </w:t>
            </w:r>
            <w:proofErr w:type="spellStart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sedang</w:t>
            </w:r>
            <w:proofErr w:type="spellEnd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berjalan</w:t>
            </w:r>
            <w:proofErr w:type="spellEnd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sahaja</w:t>
            </w:r>
            <w:proofErr w:type="spellEnd"/>
            <w:r w:rsidR="005453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)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84BD"/>
            <w:vAlign w:val="center"/>
          </w:tcPr>
          <w:p w14:paraId="6DCEFCF8" w14:textId="7F2C7665" w:rsidR="00DD6D76" w:rsidRPr="00DD6D76" w:rsidRDefault="00DD6D76" w:rsidP="00DD6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D6D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TUGAS-TUGAS KHAS/ADHOC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sekiranya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ada</w:t>
            </w:r>
            <w:proofErr w:type="spellEnd"/>
            <w:r w:rsidRPr="00DD6D7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)</w:t>
            </w:r>
          </w:p>
        </w:tc>
      </w:tr>
      <w:tr w:rsidR="00DD6D76" w:rsidRPr="00DD6D76" w14:paraId="7ADD829D" w14:textId="38CBAC1B" w:rsidTr="00115612">
        <w:trPr>
          <w:trHeight w:val="1072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302" w14:textId="77777777" w:rsidR="00D0727E" w:rsidRDefault="00275462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penyata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penyesuaian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panjar</w:t>
            </w:r>
            <w:proofErr w:type="spellEnd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secara</w:t>
            </w:r>
            <w:proofErr w:type="spellEnd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bulanan</w:t>
            </w:r>
            <w:proofErr w:type="spellEnd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5 </w:t>
            </w:r>
            <w:proofErr w:type="spellStart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pejabat</w:t>
            </w:r>
            <w:proofErr w:type="spellEnd"/>
            <w:r w:rsidR="00D072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wilayah. </w:t>
            </w:r>
          </w:p>
          <w:p w14:paraId="142D2CA1" w14:textId="77777777" w:rsidR="00D0727E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  <w:p w14:paraId="3F5AD060" w14:textId="23522448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1349" w14:textId="2DEC35E0" w:rsidR="00DD6D76" w:rsidRDefault="00115612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Pengurusan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komputer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warga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MPC</w:t>
            </w:r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:</w:t>
            </w:r>
          </w:p>
          <w:p w14:paraId="60CC4A07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  <w:t xml:space="preserve">Unit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Kewangan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membuat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semakan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penyata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gaji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warga</w:t>
            </w:r>
            <w:proofErr w:type="spellEnd"/>
          </w:p>
          <w:p w14:paraId="1840DFEA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Terima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semak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Borang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Permohonan</w:t>
            </w:r>
            <w:proofErr w:type="spellEnd"/>
          </w:p>
          <w:p w14:paraId="0BDAC0AB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  <w:t xml:space="preserve">Buka Fail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</w:p>
          <w:p w14:paraId="621E1D7C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Mendapat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pengesahan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tandatangan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daripada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Ketua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Pengarah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&amp;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Pengarah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MSF di ADOBE</w:t>
            </w:r>
          </w:p>
          <w:p w14:paraId="385E152F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Mengeluarkan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Perjanjian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Surat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Kelulusan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</w:p>
          <w:p w14:paraId="0C5F7E93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Pegawai bersama saksi menandatangani Perjanjian dan Surat Kelulusan</w:t>
            </w:r>
          </w:p>
          <w:p w14:paraId="4687805A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Mendapat kelulusan daripada Ketua Pengarah &amp; Pengarah MSF</w:t>
            </w:r>
          </w:p>
          <w:p w14:paraId="5753EA50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Matikan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setem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dokumen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proofErr w:type="gram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perjanjian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;</w:t>
            </w:r>
            <w:proofErr w:type="gramEnd"/>
          </w:p>
          <w:p w14:paraId="4950F54D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 xml:space="preserve">Butiran peminjam dimasukkan ke dalam sistem GRP  </w:t>
            </w:r>
          </w:p>
          <w:p w14:paraId="41DF5693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  <w:t xml:space="preserve">Proses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potongan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gaji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melalui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gaji</w:t>
            </w:r>
            <w:proofErr w:type="spellEnd"/>
          </w:p>
          <w:p w14:paraId="300929CF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Baucer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bayaran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diluluskan</w:t>
            </w:r>
            <w:proofErr w:type="spellEnd"/>
          </w:p>
          <w:p w14:paraId="6A95ACF5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Pegawai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diberi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Surat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Pelantikan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Wakil Kerajaan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urusan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proofErr w:type="gram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pembelian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;</w:t>
            </w:r>
            <w:proofErr w:type="gramEnd"/>
          </w:p>
          <w:p w14:paraId="0B192D24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  <w:t xml:space="preserve">Cek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dikeluarkan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diserahkan</w:t>
            </w:r>
            <w:proofErr w:type="spellEnd"/>
          </w:p>
          <w:p w14:paraId="5FE57466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Pegawai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yang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telah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menerima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cek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perlu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menyerahkan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resit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pembelian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dalam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tempoh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30 HARI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iaitu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Delivery Order,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Invois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Resit</w:t>
            </w:r>
          </w:p>
          <w:p w14:paraId="00AF6159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Bayaran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balik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proofErr w:type="gram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pembiayaan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secara</w:t>
            </w:r>
            <w:proofErr w:type="spellEnd"/>
            <w:proofErr w:type="gram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potongan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gaji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tidak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lewat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daripada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dua (2)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bulan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berikutnya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  <w:p w14:paraId="5A34199E" w14:textId="77777777" w:rsidR="005B4469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  <w:p w14:paraId="19F8DA5B" w14:textId="7B8554F9" w:rsidR="00115612" w:rsidRPr="00DD6D76" w:rsidRDefault="00115612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664F1" w14:textId="33EA0DA2" w:rsidR="00DD6D76" w:rsidRPr="00DD6D76" w:rsidRDefault="00115612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Penyediaan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Slide SAGA COMPLIANCE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menjadi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5019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Sekretariat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Naziran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SAGA MPC.</w:t>
            </w:r>
          </w:p>
        </w:tc>
      </w:tr>
      <w:tr w:rsidR="00D0727E" w:rsidRPr="00DD6D76" w14:paraId="48326E46" w14:textId="77777777" w:rsidTr="00115612">
        <w:trPr>
          <w:trHeight w:val="1072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FF79" w14:textId="128ABF0D" w:rsidR="00D0727E" w:rsidRPr="00275462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bulanan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penyata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penyesuaian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bank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panjar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hasil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usahasama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pembangunan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pejabat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7B611" w14:textId="77777777" w:rsidR="00D0727E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Pengurusan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kenderaan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warga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MPC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:</w:t>
            </w:r>
          </w:p>
          <w:p w14:paraId="1B851CAB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  <w:t xml:space="preserve">Unit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Kewangan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membuat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semakan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penyata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gaji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warga</w:t>
            </w:r>
            <w:proofErr w:type="spellEnd"/>
          </w:p>
          <w:p w14:paraId="5CA98B6F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Terima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semak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Borang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Permohonan</w:t>
            </w:r>
            <w:proofErr w:type="spellEnd"/>
          </w:p>
          <w:p w14:paraId="6F570DD1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  <w:t xml:space="preserve">Buka Fail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</w:p>
          <w:p w14:paraId="79BA0BB9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Mendapat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pengesahan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tandatangan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daripada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Ketua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Pengarah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&amp;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Pengarah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MSF di ADOBE</w:t>
            </w:r>
          </w:p>
          <w:p w14:paraId="7160C1B3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lastRenderedPageBreak/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Mengeluarkan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Perjanjian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Surat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Kelulusan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</w:p>
          <w:p w14:paraId="27F3D5DB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Pegawai bersama saksi menandatangani Perjanjian dan Surat Kelulusan</w:t>
            </w:r>
          </w:p>
          <w:p w14:paraId="506006B4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Mendapat kelulusan daripada Ketua Pengarah &amp; Pengarah MSF</w:t>
            </w:r>
          </w:p>
          <w:p w14:paraId="0EEE008F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Matikan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setem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dokumen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proofErr w:type="gram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perjanjian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;</w:t>
            </w:r>
            <w:proofErr w:type="gramEnd"/>
          </w:p>
          <w:p w14:paraId="5B982745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 xml:space="preserve">Butiran peminjam dimasukkan ke dalam sistem GRP </w:t>
            </w:r>
          </w:p>
          <w:p w14:paraId="77275A2E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Baucer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bayaran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diluluskan</w:t>
            </w:r>
            <w:proofErr w:type="spellEnd"/>
          </w:p>
          <w:p w14:paraId="3BBB87EE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Mendapatkan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butiran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kenderaan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pendaftaran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dalam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Sistem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FIS</w:t>
            </w:r>
          </w:p>
          <w:p w14:paraId="245A7A9F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Pegawai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diberi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Surat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Pelantikan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Wakil Kerajaan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urusan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proofErr w:type="gram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pembelian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;</w:t>
            </w:r>
            <w:proofErr w:type="gramEnd"/>
          </w:p>
          <w:p w14:paraId="3E1EF257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Serahan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Cek dan Bukti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Pembelian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Kenderaan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spt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: nota takaful (cover note)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atau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sijil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takaful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kenderaan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(</w:t>
            </w:r>
            <w:proofErr w:type="spellStart"/>
            <w:proofErr w:type="gram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komprehensif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) 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dalam</w:t>
            </w:r>
            <w:proofErr w:type="spellEnd"/>
            <w:proofErr w:type="gram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tempoh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30 HARI</w:t>
            </w:r>
          </w:p>
          <w:p w14:paraId="3BBEAD08" w14:textId="4443BF82" w:rsidR="005B4469" w:rsidRPr="00115612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Potongan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gaji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tidak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lewat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dari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dua (2)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bulan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berikutnya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0F136" w14:textId="2ABAD3A2" w:rsidR="00D0727E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lastRenderedPageBreak/>
              <w:t>Menjadi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Sekr</w:t>
            </w:r>
            <w:r w:rsidR="005019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tariat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Spycamp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di MPC.</w:t>
            </w:r>
          </w:p>
        </w:tc>
      </w:tr>
      <w:tr w:rsidR="00D0727E" w:rsidRPr="005B4469" w14:paraId="36E6928E" w14:textId="77777777" w:rsidTr="00115612">
        <w:trPr>
          <w:trHeight w:val="1072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566" w14:textId="2FBD0555" w:rsidR="00D0727E" w:rsidRPr="00275462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penyata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penyesuaian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penghutan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bulanan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pejabat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 (Debtors Aging)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1F206" w14:textId="77777777" w:rsid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Pengurusan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HQ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– PELUPUSAN</w:t>
            </w:r>
          </w:p>
          <w:p w14:paraId="4B9EA7EC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Menyenaraikan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dilupuskan</w:t>
            </w:r>
            <w:proofErr w:type="spellEnd"/>
          </w:p>
          <w:p w14:paraId="209CD71D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Menganjurkan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Mesyuarat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Lembaga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Pemeriksa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Pelupusan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(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kaedah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pelupusan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)</w:t>
            </w:r>
          </w:p>
          <w:p w14:paraId="3BF526DD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Menyediakan Kertas Cadangan BOM</w:t>
            </w:r>
          </w:p>
          <w:p w14:paraId="46E0B005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Membuat pembayaran melalui e-RO</w:t>
            </w:r>
          </w:p>
          <w:p w14:paraId="34CD9173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Melaksanakan pelupusan</w:t>
            </w:r>
          </w:p>
          <w:p w14:paraId="4D51B641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Menyediakan Sijil Pelupusan</w:t>
            </w:r>
          </w:p>
          <w:p w14:paraId="31EC50CA" w14:textId="52C9AE69" w:rsidR="00D0727E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  <w:tab/>
              <w:t>Mengemaskini maklumat pelupusan di dalam Asset Admin.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41AD7" w14:textId="77777777" w:rsidR="00D0727E" w:rsidRPr="005B4469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pt-BR" w:eastAsia="en-MY"/>
                <w14:ligatures w14:val="none"/>
              </w:rPr>
            </w:pPr>
          </w:p>
        </w:tc>
      </w:tr>
      <w:tr w:rsidR="00D0727E" w:rsidRPr="00DD6D76" w14:paraId="09881DE5" w14:textId="77777777" w:rsidTr="00115612">
        <w:trPr>
          <w:trHeight w:val="1072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912" w14:textId="5C11CB7F" w:rsidR="00D0727E" w:rsidRPr="00275462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penyata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penyesuaian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pemiutang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bulanan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pejabat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 (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Creditors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Aging)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6788A" w14:textId="77777777" w:rsid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Pengurusan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11561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HQ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– PEMERIKSAAN</w:t>
            </w:r>
          </w:p>
          <w:p w14:paraId="25BB266B" w14:textId="4853D1D9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borang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pemeriksaan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</w:p>
          <w:p w14:paraId="17BD9A02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Membuat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taklimat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pemeriksaan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asset</w:t>
            </w:r>
          </w:p>
          <w:p w14:paraId="5FCA0EF9" w14:textId="3754B941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Membuat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semakan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lokasi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keadaan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fizikal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</w:p>
          <w:p w14:paraId="65AD54E6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Merekodkan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di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dalam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GRP</w:t>
            </w:r>
          </w:p>
          <w:p w14:paraId="01935B50" w14:textId="459EF1B7" w:rsidR="00D0727E" w:rsidRPr="00115612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Mengesahkan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rekod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pemeriksaan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22C264" w14:textId="77777777" w:rsidR="00D0727E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0727E" w:rsidRPr="00DD6D76" w14:paraId="783504F8" w14:textId="77777777" w:rsidTr="00767377">
        <w:trPr>
          <w:trHeight w:val="416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A0B6" w14:textId="5D90AEBB" w:rsidR="00D0727E" w:rsidRPr="00275462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pendahulua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jurnal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pelarasan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pendahuluan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setiap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E2801" w14:textId="4B9AFC85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Penyediaan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HQ dan Wilayah</w:t>
            </w:r>
          </w:p>
          <w:p w14:paraId="15C19637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Mengemel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kepada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untuk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mengemukakan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harta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modal,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set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bernilai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rendah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,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status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pemeriksaan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alih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,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rekod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penyelenggaraan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alih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,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penyelenggaraan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alih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sijil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penyaksian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pelupusan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alih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  <w:p w14:paraId="3EAC8C61" w14:textId="77777777" w:rsidR="005B4469" w:rsidRPr="005B4469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data</w:t>
            </w:r>
          </w:p>
          <w:p w14:paraId="2C59692B" w14:textId="7C923B41" w:rsidR="00D0727E" w:rsidRPr="00115612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lastRenderedPageBreak/>
              <w:t>•</w:t>
            </w:r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ab/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dokumen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pembentangan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24649E" w14:textId="77777777" w:rsidR="00D0727E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0727E" w:rsidRPr="00DD6D76" w14:paraId="1157CDB5" w14:textId="77777777" w:rsidTr="00115612">
        <w:trPr>
          <w:trHeight w:val="1072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53D5" w14:textId="3036A782" w:rsidR="00D0727E" w:rsidRPr="00275462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imbangan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duga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</w:t>
            </w:r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enyediakan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jurnal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pelarasan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kesalahan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kod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7EFBD" w14:textId="070A736D" w:rsidR="00D0727E" w:rsidRPr="00115612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Pendaftaran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pembelian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bernilai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rendah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(ABR)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dalam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sistem</w:t>
            </w:r>
            <w:proofErr w:type="spellEnd"/>
            <w:r w:rsidRP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GRP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50BF0" w14:textId="77777777" w:rsidR="00D0727E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D6D76" w:rsidRPr="00DD6D76" w14:paraId="3F8D0E21" w14:textId="3CAB6949" w:rsidTr="00115612">
        <w:trPr>
          <w:trHeight w:val="712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ABA9" w14:textId="01A1171D" w:rsidR="00DD6D76" w:rsidRPr="00DD6D76" w:rsidRDefault="00D0727E" w:rsidP="00D07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setiap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baucar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bayaran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</w:t>
            </w:r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memastikan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dokumen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lengkap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p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embayaran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pembekal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tuntutan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yang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dibuat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oleh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setiap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E3827" w14:textId="45C3432F" w:rsidR="00DD6D76" w:rsidRPr="00DD6D76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Mengeluarkan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resit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Hibah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Pembayaran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Balik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Pinjaman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Kenderaan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Si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stem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GRP.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2F98D" w14:textId="77777777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D6D76" w:rsidRPr="005019B4" w14:paraId="50CB38CA" w14:textId="025C5C82" w:rsidTr="00115612">
        <w:trPr>
          <w:trHeight w:val="777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D94A" w14:textId="403D228A" w:rsidR="00DD6D76" w:rsidRPr="000415EE" w:rsidRDefault="00D0727E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slide </w:t>
            </w:r>
            <w:proofErr w:type="spellStart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bahagian</w:t>
            </w:r>
            <w:proofErr w:type="spellEnd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Mesyuarat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BOD, JPKA, JKA dan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infografik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berkaitan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unit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kewangan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aset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3A26F" w14:textId="485D4F84" w:rsidR="005B4469" w:rsidRPr="005019B4" w:rsidRDefault="005019B4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Menyemak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JKPAJ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Ibu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Pejabat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Pejabat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setiap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suku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tahun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55A93D" w14:textId="77777777" w:rsidR="00DD6D76" w:rsidRPr="005019B4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D6D76" w:rsidRPr="00DD6D76" w14:paraId="3539EAF0" w14:textId="6D4A63F9" w:rsidTr="00115612">
        <w:trPr>
          <w:trHeight w:val="777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8DA1" w14:textId="60CC9F7B" w:rsidR="00DD6D76" w:rsidRPr="005B4469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Membantu</w:t>
            </w:r>
            <w:proofErr w:type="spellEnd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pejabat</w:t>
            </w:r>
            <w:proofErr w:type="spellEnd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wilayah </w:t>
            </w: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dalam</w:t>
            </w:r>
            <w:proofErr w:type="spellEnd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pengurusan</w:t>
            </w:r>
            <w:proofErr w:type="spellEnd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akau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wilayah dan</w:t>
            </w:r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penggunaan</w:t>
            </w:r>
            <w:proofErr w:type="spellEnd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sistem</w:t>
            </w:r>
            <w:proofErr w:type="spellEnd"/>
            <w:r w:rsidRPr="005B446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GRP 9.0</w:t>
            </w:r>
            <w:r w:rsidR="005019B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10B6" w14:textId="5FDD5045" w:rsidR="005B4469" w:rsidRPr="00DD6D76" w:rsidRDefault="005B4469" w:rsidP="005B4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A3DFE" w14:textId="77777777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D6D76" w:rsidRPr="00DD6D76" w14:paraId="09BC55CE" w14:textId="0A5920E7" w:rsidTr="005B4469">
        <w:trPr>
          <w:trHeight w:val="777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C458" w14:textId="1E986876" w:rsidR="00DD6D76" w:rsidRPr="00DD6D76" w:rsidRDefault="00275462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Mengadakan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perbincangan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bersama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bagi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semakan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akaun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dokumen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pembayaran</w:t>
            </w:r>
            <w:proofErr w:type="spellEnd"/>
            <w:r w:rsidRPr="002754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(</w:t>
            </w:r>
            <w:proofErr w:type="spellStart"/>
            <w:proofErr w:type="gramStart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sekiranya</w:t>
            </w:r>
            <w:proofErr w:type="spellEnd"/>
            <w:proofErr w:type="gramEnd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perlu</w:t>
            </w:r>
            <w:proofErr w:type="spellEnd"/>
            <w:r w:rsidR="005B44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)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1E90" w14:textId="13D65C1A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F96A" w14:textId="77777777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  <w:tr w:rsidR="00DD6D76" w:rsidRPr="00DD6D76" w14:paraId="214D3CD3" w14:textId="4F201386" w:rsidTr="005B4469">
        <w:trPr>
          <w:trHeight w:val="777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6AFF" w14:textId="39EE4476" w:rsidR="00DD6D76" w:rsidRPr="00DD6D76" w:rsidRDefault="005B4469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Menyediakan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baucar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pembayaran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rekupan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setiap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wilayah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membuat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tera air “TELAH BAYAR” pada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setiap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baucar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8418" w14:textId="2198067F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E87A" w14:textId="77777777" w:rsidR="00DD6D76" w:rsidRPr="00DD6D76" w:rsidRDefault="00DD6D76" w:rsidP="00115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</w:tr>
    </w:tbl>
    <w:p w14:paraId="09A37F03" w14:textId="77777777" w:rsidR="001719D3" w:rsidRDefault="001719D3"/>
    <w:sectPr w:rsidR="001719D3" w:rsidSect="00DD6D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76"/>
    <w:rsid w:val="000415EE"/>
    <w:rsid w:val="00115612"/>
    <w:rsid w:val="001719D3"/>
    <w:rsid w:val="00275462"/>
    <w:rsid w:val="00374E73"/>
    <w:rsid w:val="005019B4"/>
    <w:rsid w:val="00545330"/>
    <w:rsid w:val="00586EDC"/>
    <w:rsid w:val="005B4469"/>
    <w:rsid w:val="00767377"/>
    <w:rsid w:val="009D69BC"/>
    <w:rsid w:val="00C1004B"/>
    <w:rsid w:val="00D0727E"/>
    <w:rsid w:val="00DB3573"/>
    <w:rsid w:val="00DD6D76"/>
    <w:rsid w:val="00F01C6E"/>
    <w:rsid w:val="00F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846A"/>
  <w15:chartTrackingRefBased/>
  <w15:docId w15:val="{EBA2B0F8-B2F8-42C3-A68D-E2A51FE7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Aida Farzana Muhammad</cp:lastModifiedBy>
  <cp:revision>5</cp:revision>
  <cp:lastPrinted>2023-07-13T00:30:00Z</cp:lastPrinted>
  <dcterms:created xsi:type="dcterms:W3CDTF">2023-07-13T00:57:00Z</dcterms:created>
  <dcterms:modified xsi:type="dcterms:W3CDTF">2023-07-13T02:00:00Z</dcterms:modified>
</cp:coreProperties>
</file>