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FE08" w14:textId="643F30B9" w:rsidR="008B04D4" w:rsidRDefault="008B04D4" w:rsidP="00BF6DB9">
      <w:pPr>
        <w:jc w:val="both"/>
      </w:pPr>
      <w:r>
        <w:t xml:space="preserve">Ministerial notes </w:t>
      </w:r>
      <w:r w:rsidR="00BF6DB9">
        <w:t>on IPEF GRP Chapter</w:t>
      </w:r>
    </w:p>
    <w:p w14:paraId="36DE6734" w14:textId="77777777" w:rsidR="008B04D4" w:rsidRDefault="008B04D4" w:rsidP="00BF6DB9">
      <w:pPr>
        <w:jc w:val="both"/>
      </w:pPr>
      <w:r w:rsidRPr="00E76A73">
        <w:rPr>
          <w:highlight w:val="yellow"/>
        </w:rPr>
        <w:t>1.</w:t>
      </w:r>
      <w:r w:rsidRPr="00E76A73">
        <w:rPr>
          <w:highlight w:val="yellow"/>
        </w:rPr>
        <w:tab/>
        <w:t>Very brief summary on each pillars &amp; chapters</w:t>
      </w:r>
      <w:r>
        <w:t xml:space="preserve"> </w:t>
      </w:r>
    </w:p>
    <w:p w14:paraId="3DBDE75B" w14:textId="03E83B91" w:rsidR="00A176D4" w:rsidRDefault="00A176D4" w:rsidP="00BF6DB9">
      <w:pPr>
        <w:jc w:val="both"/>
      </w:pPr>
      <w:r>
        <w:t>The emphasis of the chapter on good regulatory practices lies in fostering transparency, coherence, and cooperation in regulatory matters among trading partners. Its principal objective is to facilitate trade and investment by improving the quality of regulations and promoting consistency and compatibility across different regulatory frameworks. The chapter entails identifying and addressing unnecessary regulatory disparities that could impede trade, while also recognizing legitimate policy goals and maintaining high regulatory standards.</w:t>
      </w:r>
    </w:p>
    <w:p w14:paraId="0D29F7C2" w14:textId="77777777" w:rsidR="008B04D4" w:rsidRDefault="008B04D4" w:rsidP="00BF6DB9">
      <w:pPr>
        <w:jc w:val="both"/>
      </w:pPr>
      <w:r w:rsidRPr="00E76A73">
        <w:rPr>
          <w:highlight w:val="yellow"/>
        </w:rPr>
        <w:t>2.</w:t>
      </w:r>
      <w:r w:rsidRPr="00E76A73">
        <w:rPr>
          <w:highlight w:val="yellow"/>
        </w:rPr>
        <w:tab/>
        <w:t>What each pillars &amp; chapters is trying to do</w:t>
      </w:r>
      <w:r>
        <w:t xml:space="preserve"> </w:t>
      </w:r>
    </w:p>
    <w:p w14:paraId="4882612A" w14:textId="3067AABB" w:rsidR="009C70A8" w:rsidRDefault="00932142" w:rsidP="00BF6DB9">
      <w:pPr>
        <w:jc w:val="both"/>
      </w:pPr>
      <w:r w:rsidRPr="00D23571">
        <w:t>The incorporation of the Good Regulatory Practice (GRP) chapter presents IPEF partners with the opportunity to establish a strong foundation for trade and investment, emphasi</w:t>
      </w:r>
      <w:r w:rsidR="00132ABD" w:rsidRPr="00D23571">
        <w:t>s</w:t>
      </w:r>
      <w:r w:rsidRPr="00D23571">
        <w:t>ing regulatory governance and transparent practices. This integration promotes regulatory coherence, predictability, and reduces excessive regulatory burdens. Additionally, it encourages active engagement with stakeholders, fostering an environment that facilitates economic growth and maximises the benefits of international trade. The GRP chapter is centered around reducing unnecessary regulatory burdens, streamlining bureaucratic processes, minimi</w:t>
      </w:r>
      <w:r w:rsidR="00132ABD" w:rsidRPr="00D23571">
        <w:t>s</w:t>
      </w:r>
      <w:r w:rsidRPr="00D23571">
        <w:t>ing regulatory disparities where appropriate, and facilitating the exchange of valuable information and expertise.</w:t>
      </w:r>
    </w:p>
    <w:p w14:paraId="1E1273FE" w14:textId="1ECB1DEE" w:rsidR="008B04D4" w:rsidRDefault="008B04D4" w:rsidP="00BF6DB9">
      <w:pPr>
        <w:jc w:val="both"/>
      </w:pPr>
      <w:r w:rsidRPr="00E76A73">
        <w:rPr>
          <w:highlight w:val="yellow"/>
        </w:rPr>
        <w:t>3.</w:t>
      </w:r>
      <w:r w:rsidRPr="00E76A73">
        <w:rPr>
          <w:highlight w:val="yellow"/>
        </w:rPr>
        <w:tab/>
        <w:t>What are concerns of each pillars &amp; chapters (what is most important and who supports and opposes)</w:t>
      </w:r>
    </w:p>
    <w:p w14:paraId="1891B4F3" w14:textId="77777777" w:rsidR="00BF6DB9" w:rsidRDefault="00BF6DB9" w:rsidP="00BF6DB9">
      <w:pPr>
        <w:jc w:val="both"/>
      </w:pPr>
      <w:r w:rsidRPr="00BF6DB9">
        <w:t>The GRP Chapter within IPEF includes 13 economies: the United States, Republic of Korea, Fiji, Japan, Australia, New Zealand, Brunei, Indonesia, Malaysia, Philippines, Singapore, Thailand, and Vietnam. Among these economies, all members of the Comprehensive and Progressive Agreement for Trans-Pacific Partnership (CPTPP) - Australia, New Zealand, Malaysia, Japan, Brunei, Singapore, and Vietnam - are strategically aligning the GRP chapter with the regulatory coherence principles of the CPTPP Free Trade Agreement (FTA).</w:t>
      </w:r>
    </w:p>
    <w:p w14:paraId="2B65C251" w14:textId="77777777" w:rsidR="002769B8" w:rsidRDefault="00BF6DB9" w:rsidP="00BF6DB9">
      <w:pPr>
        <w:jc w:val="both"/>
      </w:pPr>
      <w:r>
        <w:t xml:space="preserve">The main concern regarding the GRP Chapter </w:t>
      </w:r>
      <w:r w:rsidR="002769B8">
        <w:t>are:</w:t>
      </w:r>
    </w:p>
    <w:p w14:paraId="631D1CBC" w14:textId="7F8E0B91" w:rsidR="00BF6DB9" w:rsidRDefault="00BF6DB9" w:rsidP="00BF6DB9">
      <w:pPr>
        <w:jc w:val="both"/>
      </w:pPr>
      <w:r>
        <w:t>Article X.X</w:t>
      </w:r>
      <w:r w:rsidR="008F04E9">
        <w:t>: Definition</w:t>
      </w:r>
      <w:r>
        <w:t xml:space="preserve">, which pertains to the scope of covered regulatory measures. Malaysia is currently in the process of identifying regulations that will be encompassed under this chapter. </w:t>
      </w:r>
    </w:p>
    <w:p w14:paraId="514C112E" w14:textId="05941075" w:rsidR="002B47C3" w:rsidRDefault="006A2A56" w:rsidP="00BF6DB9">
      <w:pPr>
        <w:jc w:val="both"/>
      </w:pPr>
      <w:r w:rsidRPr="006A2A56">
        <w:t>Despite the inclusion of Article X.8, which emphasizes the Use of Plain Language in legal texts and documents, the practice of employing plain language is not yet widespread in Malaysia.</w:t>
      </w:r>
    </w:p>
    <w:p w14:paraId="318897A4" w14:textId="48A62DF5" w:rsidR="00F61FE8" w:rsidRDefault="00F61FE8" w:rsidP="00BF6DB9">
      <w:pPr>
        <w:jc w:val="both"/>
      </w:pPr>
      <w:r w:rsidRPr="00F61FE8">
        <w:t>Malaysia encounters challenges in fully complying with Article X.9, which addresses the Transparent Development of Regulations, due to the classification of all Cabinet documents under the Official Secrets Act</w:t>
      </w:r>
      <w:r w:rsidR="00D23571">
        <w:t xml:space="preserve"> and</w:t>
      </w:r>
      <w:r w:rsidRPr="00F61FE8">
        <w:t xml:space="preserve"> </w:t>
      </w:r>
      <w:r w:rsidR="00D23571">
        <w:t>t</w:t>
      </w:r>
      <w:r w:rsidRPr="00F61FE8">
        <w:t xml:space="preserve">his classification restricts the disclosure of </w:t>
      </w:r>
      <w:r w:rsidR="002C5492">
        <w:t>the propose text of regulation.</w:t>
      </w:r>
    </w:p>
    <w:p w14:paraId="44F898B0" w14:textId="38DA80B6" w:rsidR="008B04D4" w:rsidRDefault="008B04D4" w:rsidP="00BF6DB9">
      <w:pPr>
        <w:jc w:val="both"/>
      </w:pPr>
      <w:r w:rsidRPr="00E76A73">
        <w:rPr>
          <w:highlight w:val="yellow"/>
        </w:rPr>
        <w:t>4.</w:t>
      </w:r>
      <w:r w:rsidRPr="00E76A73">
        <w:rPr>
          <w:highlight w:val="yellow"/>
        </w:rPr>
        <w:tab/>
        <w:t>What are MY’s priority</w:t>
      </w:r>
    </w:p>
    <w:p w14:paraId="497E0E99" w14:textId="5D683831" w:rsidR="00BF6DB9" w:rsidRDefault="00BF6DB9" w:rsidP="00BF6DB9">
      <w:pPr>
        <w:jc w:val="both"/>
      </w:pPr>
      <w:r>
        <w:t>Malaysia places significant emphasis on several priorities within the realm of Good Regulatory Practice (GRP) to foster an enabling regulatory environment</w:t>
      </w:r>
      <w:r w:rsidR="00B76822">
        <w:t xml:space="preserve"> in promoting trade, investment and productivity</w:t>
      </w:r>
      <w:r>
        <w:t xml:space="preserve">. Some key priorities for Malaysia in this context </w:t>
      </w:r>
      <w:r w:rsidR="008D6AD2">
        <w:t>are</w:t>
      </w:r>
      <w:r>
        <w:t xml:space="preserve"> Capacity Building and </w:t>
      </w:r>
      <w:r w:rsidR="003D666E">
        <w:t>technical assistan</w:t>
      </w:r>
      <w:r w:rsidR="00CD37B3">
        <w:t>ce</w:t>
      </w:r>
      <w:r w:rsidR="006C36BB">
        <w:t>, and regulatory cooperation</w:t>
      </w:r>
      <w:r w:rsidR="00F656A4">
        <w:t>.</w:t>
      </w:r>
    </w:p>
    <w:p w14:paraId="5C608BFD" w14:textId="2395AC95" w:rsidR="002E1C87" w:rsidRDefault="008B04D4" w:rsidP="00BF6DB9">
      <w:pPr>
        <w:jc w:val="both"/>
      </w:pPr>
      <w:r w:rsidRPr="00E76A73">
        <w:rPr>
          <w:highlight w:val="yellow"/>
        </w:rPr>
        <w:t>5.</w:t>
      </w:r>
      <w:r w:rsidRPr="00E76A73">
        <w:rPr>
          <w:highlight w:val="yellow"/>
        </w:rPr>
        <w:tab/>
        <w:t>Legal view on each positions</w:t>
      </w:r>
    </w:p>
    <w:p w14:paraId="2DDEB094" w14:textId="62D144D6" w:rsidR="00A01301" w:rsidRDefault="00A01301" w:rsidP="00BF6DB9">
      <w:pPr>
        <w:jc w:val="both"/>
      </w:pPr>
      <w:r>
        <w:t>[AGC Inputs]</w:t>
      </w:r>
    </w:p>
    <w:sectPr w:rsidR="00A01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6D3"/>
    <w:multiLevelType w:val="hybridMultilevel"/>
    <w:tmpl w:val="66D0CE6E"/>
    <w:lvl w:ilvl="0" w:tplc="B9B843DA">
      <w:start w:val="1"/>
      <w:numFmt w:val="decimal"/>
      <w:lvlText w:val="%1."/>
      <w:lvlJc w:val="left"/>
      <w:pPr>
        <w:ind w:left="720" w:hanging="360"/>
      </w:pPr>
      <w:rPr>
        <w:rFonts w:ascii="Calibri" w:eastAsia="Times New Roman" w:hAnsi="Calibri" w:cs="Calibri" w:hint="default"/>
        <w:sz w:val="24"/>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16cid:durableId="611328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21"/>
    <w:rsid w:val="0003616F"/>
    <w:rsid w:val="0006504D"/>
    <w:rsid w:val="00132ABD"/>
    <w:rsid w:val="00192EB6"/>
    <w:rsid w:val="00205C74"/>
    <w:rsid w:val="002769B8"/>
    <w:rsid w:val="002B47C3"/>
    <w:rsid w:val="002C5492"/>
    <w:rsid w:val="002E1C87"/>
    <w:rsid w:val="003077C7"/>
    <w:rsid w:val="00375121"/>
    <w:rsid w:val="003D666E"/>
    <w:rsid w:val="00480BCC"/>
    <w:rsid w:val="004A1C47"/>
    <w:rsid w:val="004A4DDF"/>
    <w:rsid w:val="005055DC"/>
    <w:rsid w:val="0058462A"/>
    <w:rsid w:val="005C32D0"/>
    <w:rsid w:val="006A2A56"/>
    <w:rsid w:val="006A45F1"/>
    <w:rsid w:val="006C36BB"/>
    <w:rsid w:val="006E4745"/>
    <w:rsid w:val="007D54EC"/>
    <w:rsid w:val="00875221"/>
    <w:rsid w:val="008B04D4"/>
    <w:rsid w:val="008C7EAD"/>
    <w:rsid w:val="008D6AD2"/>
    <w:rsid w:val="008D714D"/>
    <w:rsid w:val="008F04E9"/>
    <w:rsid w:val="00932142"/>
    <w:rsid w:val="0099062C"/>
    <w:rsid w:val="009C70A8"/>
    <w:rsid w:val="00A01301"/>
    <w:rsid w:val="00A176D4"/>
    <w:rsid w:val="00A36769"/>
    <w:rsid w:val="00A9550A"/>
    <w:rsid w:val="00AC4DD3"/>
    <w:rsid w:val="00B1294F"/>
    <w:rsid w:val="00B56D07"/>
    <w:rsid w:val="00B76822"/>
    <w:rsid w:val="00B94E3D"/>
    <w:rsid w:val="00BD6BDD"/>
    <w:rsid w:val="00BF6DB9"/>
    <w:rsid w:val="00C00291"/>
    <w:rsid w:val="00C84A41"/>
    <w:rsid w:val="00CA1C72"/>
    <w:rsid w:val="00CD37B3"/>
    <w:rsid w:val="00D23571"/>
    <w:rsid w:val="00D4559A"/>
    <w:rsid w:val="00D820C4"/>
    <w:rsid w:val="00DE1519"/>
    <w:rsid w:val="00E566F7"/>
    <w:rsid w:val="00E76A73"/>
    <w:rsid w:val="00EE4704"/>
    <w:rsid w:val="00F61FE8"/>
    <w:rsid w:val="00F656A4"/>
    <w:rsid w:val="00FA6A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C86E"/>
  <w15:chartTrackingRefBased/>
  <w15:docId w15:val="{400C3745-487F-4FC0-84C6-3C515441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Zulkifly Che Mohd Rawawi</dc:creator>
  <cp:keywords/>
  <dc:description/>
  <cp:lastModifiedBy>Mohd Zulkifly Che Mohd Rawawi</cp:lastModifiedBy>
  <cp:revision>3</cp:revision>
  <dcterms:created xsi:type="dcterms:W3CDTF">2023-05-17T16:07:00Z</dcterms:created>
  <dcterms:modified xsi:type="dcterms:W3CDTF">2023-05-17T16:07:00Z</dcterms:modified>
</cp:coreProperties>
</file>