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93"/>
        <w:tblW w:w="0" w:type="auto"/>
        <w:tblLook w:val="04A0" w:firstRow="1" w:lastRow="0" w:firstColumn="1" w:lastColumn="0" w:noHBand="0" w:noVBand="1"/>
      </w:tblPr>
      <w:tblGrid>
        <w:gridCol w:w="572"/>
        <w:gridCol w:w="5082"/>
        <w:gridCol w:w="822"/>
        <w:gridCol w:w="842"/>
        <w:gridCol w:w="893"/>
        <w:gridCol w:w="805"/>
      </w:tblGrid>
      <w:tr w:rsidR="00AB4FA8" w:rsidRPr="00AD5FA8" w14:paraId="1DB369AD" w14:textId="77777777" w:rsidTr="00AB4FA8">
        <w:trPr>
          <w:trHeight w:val="285"/>
        </w:trPr>
        <w:tc>
          <w:tcPr>
            <w:tcW w:w="572" w:type="dxa"/>
          </w:tcPr>
          <w:p w14:paraId="4BEA6BC8" w14:textId="77777777" w:rsidR="00AB4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0"/>
              </w:rPr>
              <w:t>NO.</w:t>
            </w:r>
          </w:p>
        </w:tc>
        <w:tc>
          <w:tcPr>
            <w:tcW w:w="5082" w:type="dxa"/>
          </w:tcPr>
          <w:p w14:paraId="7B35C400" w14:textId="77777777" w:rsidR="00AB4FA8" w:rsidRPr="00AD5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0"/>
              </w:rPr>
              <w:t>AKTIVITI</w:t>
            </w:r>
          </w:p>
        </w:tc>
        <w:tc>
          <w:tcPr>
            <w:tcW w:w="822" w:type="dxa"/>
          </w:tcPr>
          <w:p w14:paraId="58AD26DD" w14:textId="77777777" w:rsidR="00AB4FA8" w:rsidRPr="00AD5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 w:rsidRPr="00AD5FA8">
              <w:rPr>
                <w:rFonts w:ascii="Arial" w:eastAsia="Arial" w:hAnsi="Arial" w:cs="Arial"/>
                <w:b/>
                <w:bCs/>
                <w:iCs/>
                <w:sz w:val="20"/>
              </w:rPr>
              <w:t>FEB</w:t>
            </w:r>
          </w:p>
        </w:tc>
        <w:tc>
          <w:tcPr>
            <w:tcW w:w="842" w:type="dxa"/>
          </w:tcPr>
          <w:p w14:paraId="05B8D7A9" w14:textId="77777777" w:rsidR="00AB4FA8" w:rsidRPr="00AD5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 w:rsidRPr="00AD5FA8">
              <w:rPr>
                <w:rFonts w:ascii="Arial" w:eastAsia="Arial" w:hAnsi="Arial" w:cs="Arial"/>
                <w:b/>
                <w:bCs/>
                <w:iCs/>
                <w:sz w:val="20"/>
              </w:rPr>
              <w:t>MAC</w:t>
            </w:r>
          </w:p>
        </w:tc>
        <w:tc>
          <w:tcPr>
            <w:tcW w:w="893" w:type="dxa"/>
          </w:tcPr>
          <w:p w14:paraId="1F362D09" w14:textId="77777777" w:rsidR="00AB4FA8" w:rsidRPr="00AD5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 w:rsidRPr="00AD5FA8">
              <w:rPr>
                <w:rFonts w:ascii="Arial" w:eastAsia="Arial" w:hAnsi="Arial" w:cs="Arial"/>
                <w:b/>
                <w:bCs/>
                <w:iCs/>
                <w:sz w:val="20"/>
              </w:rPr>
              <w:t>APRIL</w:t>
            </w:r>
          </w:p>
        </w:tc>
        <w:tc>
          <w:tcPr>
            <w:tcW w:w="805" w:type="dxa"/>
          </w:tcPr>
          <w:p w14:paraId="7C6A8669" w14:textId="77777777" w:rsidR="00AB4FA8" w:rsidRPr="00AD5FA8" w:rsidRDefault="00AB4FA8" w:rsidP="002D0888">
            <w:pPr>
              <w:rPr>
                <w:rFonts w:ascii="Arial" w:eastAsia="Arial" w:hAnsi="Arial" w:cs="Arial"/>
                <w:b/>
                <w:bCs/>
                <w:iCs/>
                <w:sz w:val="20"/>
              </w:rPr>
            </w:pPr>
            <w:r w:rsidRPr="00AD5FA8">
              <w:rPr>
                <w:rFonts w:ascii="Arial" w:eastAsia="Arial" w:hAnsi="Arial" w:cs="Arial"/>
                <w:b/>
                <w:bCs/>
                <w:iCs/>
                <w:sz w:val="20"/>
              </w:rPr>
              <w:t>MEI</w:t>
            </w:r>
          </w:p>
        </w:tc>
      </w:tr>
      <w:tr w:rsidR="00AB4FA8" w14:paraId="78681B10" w14:textId="77777777" w:rsidTr="00AB4FA8">
        <w:trPr>
          <w:trHeight w:val="285"/>
        </w:trPr>
        <w:tc>
          <w:tcPr>
            <w:tcW w:w="572" w:type="dxa"/>
          </w:tcPr>
          <w:p w14:paraId="06E9CB52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1</w:t>
            </w:r>
          </w:p>
        </w:tc>
        <w:tc>
          <w:tcPr>
            <w:tcW w:w="5082" w:type="dxa"/>
          </w:tcPr>
          <w:p w14:paraId="5229C87A" w14:textId="77777777" w:rsidR="00AB4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Perbincangan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bersama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</w:t>
            </w:r>
            <w:r>
              <w:rPr>
                <w:rFonts w:ascii="Arial" w:eastAsia="Arial" w:hAnsi="Arial" w:cs="Arial"/>
                <w:iCs/>
                <w:sz w:val="20"/>
              </w:rPr>
              <w:t>a</w:t>
            </w:r>
            <w:r w:rsidRPr="00AD5FA8">
              <w:rPr>
                <w:rFonts w:ascii="Arial" w:eastAsia="Arial" w:hAnsi="Arial" w:cs="Arial"/>
                <w:iCs/>
                <w:sz w:val="20"/>
              </w:rPr>
              <w:t>kar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rujuk</w:t>
            </w:r>
            <w:proofErr w:type="spellEnd"/>
          </w:p>
          <w:p w14:paraId="27FCD94C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</w:p>
        </w:tc>
        <w:tc>
          <w:tcPr>
            <w:tcW w:w="822" w:type="dxa"/>
            <w:shd w:val="clear" w:color="auto" w:fill="FFE599" w:themeFill="accent4" w:themeFillTint="66"/>
          </w:tcPr>
          <w:p w14:paraId="2A28FE72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</w:tcPr>
          <w:p w14:paraId="01B619FC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</w:tcPr>
          <w:p w14:paraId="420F7F5C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6795C9B5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7128BD80" w14:textId="77777777" w:rsidTr="00AB4FA8">
        <w:trPr>
          <w:trHeight w:val="285"/>
        </w:trPr>
        <w:tc>
          <w:tcPr>
            <w:tcW w:w="572" w:type="dxa"/>
          </w:tcPr>
          <w:p w14:paraId="4CE32DBF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2</w:t>
            </w:r>
          </w:p>
        </w:tc>
        <w:tc>
          <w:tcPr>
            <w:tcW w:w="5082" w:type="dxa"/>
          </w:tcPr>
          <w:p w14:paraId="425ED8D2" w14:textId="77777777" w:rsidR="00AB4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Menjalan</w:t>
            </w:r>
            <w:r>
              <w:rPr>
                <w:rFonts w:ascii="Arial" w:eastAsia="Arial" w:hAnsi="Arial" w:cs="Arial"/>
                <w:iCs/>
                <w:sz w:val="20"/>
              </w:rPr>
              <w:t>kan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desk research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berkenaan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isu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sz w:val="20"/>
              </w:rPr>
              <w:t>ekspatriat</w:t>
            </w:r>
            <w:proofErr w:type="spellEnd"/>
          </w:p>
          <w:p w14:paraId="4BB0C15C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</w:p>
        </w:tc>
        <w:tc>
          <w:tcPr>
            <w:tcW w:w="822" w:type="dxa"/>
            <w:shd w:val="clear" w:color="auto" w:fill="FFE599" w:themeFill="accent4" w:themeFillTint="66"/>
          </w:tcPr>
          <w:p w14:paraId="56F6D4CA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</w:tcPr>
          <w:p w14:paraId="564E3893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</w:tcPr>
          <w:p w14:paraId="11DD4E86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721A2C77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7E9BF219" w14:textId="77777777" w:rsidTr="00AB4FA8">
        <w:trPr>
          <w:trHeight w:val="285"/>
        </w:trPr>
        <w:tc>
          <w:tcPr>
            <w:tcW w:w="572" w:type="dxa"/>
          </w:tcPr>
          <w:p w14:paraId="42FAC379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3</w:t>
            </w:r>
          </w:p>
        </w:tc>
        <w:tc>
          <w:tcPr>
            <w:tcW w:w="5082" w:type="dxa"/>
          </w:tcPr>
          <w:p w14:paraId="2929C90F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Menyediakan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laporan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untuk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pembentangan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kepada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Menteri Ekonomi</w:t>
            </w:r>
          </w:p>
        </w:tc>
        <w:tc>
          <w:tcPr>
            <w:tcW w:w="822" w:type="dxa"/>
          </w:tcPr>
          <w:p w14:paraId="4312FE98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  <w:shd w:val="clear" w:color="auto" w:fill="FFE599" w:themeFill="accent4" w:themeFillTint="66"/>
          </w:tcPr>
          <w:p w14:paraId="4ABDE542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</w:tcPr>
          <w:p w14:paraId="7210FF39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111C1D47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4F01AD3A" w14:textId="77777777" w:rsidTr="00AB4FA8">
        <w:trPr>
          <w:trHeight w:val="285"/>
        </w:trPr>
        <w:tc>
          <w:tcPr>
            <w:tcW w:w="572" w:type="dxa"/>
          </w:tcPr>
          <w:p w14:paraId="3FA3A9F6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4</w:t>
            </w:r>
          </w:p>
        </w:tc>
        <w:tc>
          <w:tcPr>
            <w:tcW w:w="5082" w:type="dxa"/>
          </w:tcPr>
          <w:p w14:paraId="04BC0608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Menjalankan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sesi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engagement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bersama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pihak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pemegang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taruh</w:t>
            </w:r>
            <w:proofErr w:type="spellEnd"/>
          </w:p>
        </w:tc>
        <w:tc>
          <w:tcPr>
            <w:tcW w:w="822" w:type="dxa"/>
          </w:tcPr>
          <w:p w14:paraId="3C401535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  <w:shd w:val="clear" w:color="auto" w:fill="FFE599" w:themeFill="accent4" w:themeFillTint="66"/>
          </w:tcPr>
          <w:p w14:paraId="017A63DB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  <w:shd w:val="clear" w:color="auto" w:fill="FFE599" w:themeFill="accent4" w:themeFillTint="66"/>
          </w:tcPr>
          <w:p w14:paraId="4F55749E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1C67A3C0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07028351" w14:textId="77777777" w:rsidTr="00AB4FA8">
        <w:trPr>
          <w:trHeight w:val="285"/>
        </w:trPr>
        <w:tc>
          <w:tcPr>
            <w:tcW w:w="572" w:type="dxa"/>
          </w:tcPr>
          <w:p w14:paraId="0E5F77EB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5</w:t>
            </w:r>
          </w:p>
        </w:tc>
        <w:tc>
          <w:tcPr>
            <w:tcW w:w="5082" w:type="dxa"/>
          </w:tcPr>
          <w:p w14:paraId="7F8830C8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Menyediakan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lakaran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proses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pemetaan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pengambilan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e</w:t>
            </w:r>
            <w:r>
              <w:rPr>
                <w:rFonts w:ascii="Arial" w:eastAsia="Arial" w:hAnsi="Arial" w:cs="Arial"/>
                <w:iCs/>
                <w:sz w:val="20"/>
              </w:rPr>
              <w:t>ksp</w:t>
            </w:r>
            <w:r w:rsidRPr="00AD5FA8">
              <w:rPr>
                <w:rFonts w:ascii="Arial" w:eastAsia="Arial" w:hAnsi="Arial" w:cs="Arial"/>
                <w:iCs/>
                <w:sz w:val="20"/>
              </w:rPr>
              <w:t>atriat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ke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Malaysia</w:t>
            </w:r>
          </w:p>
        </w:tc>
        <w:tc>
          <w:tcPr>
            <w:tcW w:w="822" w:type="dxa"/>
          </w:tcPr>
          <w:p w14:paraId="26C474A0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</w:tcPr>
          <w:p w14:paraId="59BADD4A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  <w:shd w:val="clear" w:color="auto" w:fill="FFE599" w:themeFill="accent4" w:themeFillTint="66"/>
          </w:tcPr>
          <w:p w14:paraId="70C83E71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4D1057BB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37025AE2" w14:textId="77777777" w:rsidTr="00AB4FA8">
        <w:trPr>
          <w:trHeight w:val="285"/>
        </w:trPr>
        <w:tc>
          <w:tcPr>
            <w:tcW w:w="572" w:type="dxa"/>
          </w:tcPr>
          <w:p w14:paraId="067480DD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6</w:t>
            </w:r>
          </w:p>
        </w:tc>
        <w:tc>
          <w:tcPr>
            <w:tcW w:w="5082" w:type="dxa"/>
          </w:tcPr>
          <w:p w14:paraId="3E8047DF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Pembentangan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hasil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dapatan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kepada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MPC</w:t>
            </w:r>
            <w:r>
              <w:rPr>
                <w:rFonts w:ascii="Arial" w:eastAsia="Arial" w:hAnsi="Arial" w:cs="Arial"/>
                <w:iCs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Cs/>
                <w:sz w:val="20"/>
              </w:rPr>
              <w:t>pemegang</w:t>
            </w:r>
            <w:proofErr w:type="spellEnd"/>
            <w:r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sz w:val="20"/>
              </w:rPr>
              <w:t>taruh</w:t>
            </w:r>
            <w:proofErr w:type="spellEnd"/>
          </w:p>
        </w:tc>
        <w:tc>
          <w:tcPr>
            <w:tcW w:w="822" w:type="dxa"/>
          </w:tcPr>
          <w:p w14:paraId="5A520895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</w:tcPr>
          <w:p w14:paraId="18201C6A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  <w:shd w:val="clear" w:color="auto" w:fill="FFE599" w:themeFill="accent4" w:themeFillTint="66"/>
          </w:tcPr>
          <w:p w14:paraId="22EED1A5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</w:tcPr>
          <w:p w14:paraId="3EED7731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  <w:tr w:rsidR="00AB4FA8" w14:paraId="26B9562E" w14:textId="77777777" w:rsidTr="00AB4FA8">
        <w:trPr>
          <w:trHeight w:val="285"/>
        </w:trPr>
        <w:tc>
          <w:tcPr>
            <w:tcW w:w="572" w:type="dxa"/>
          </w:tcPr>
          <w:p w14:paraId="70655FE6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r>
              <w:rPr>
                <w:rFonts w:ascii="Arial" w:eastAsia="Arial" w:hAnsi="Arial" w:cs="Arial"/>
                <w:iCs/>
                <w:sz w:val="20"/>
              </w:rPr>
              <w:t>7</w:t>
            </w:r>
          </w:p>
        </w:tc>
        <w:tc>
          <w:tcPr>
            <w:tcW w:w="5082" w:type="dxa"/>
          </w:tcPr>
          <w:p w14:paraId="7C1CE58D" w14:textId="77777777" w:rsidR="00AB4FA8" w:rsidRPr="00AD5FA8" w:rsidRDefault="00AB4FA8" w:rsidP="002D0888">
            <w:pPr>
              <w:rPr>
                <w:rFonts w:ascii="Arial" w:eastAsia="Arial" w:hAnsi="Arial" w:cs="Arial"/>
                <w:iCs/>
                <w:sz w:val="20"/>
              </w:rPr>
            </w:pP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Pembentangan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akhir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hasil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dapatan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AD5FA8">
              <w:rPr>
                <w:rFonts w:ascii="Arial" w:eastAsia="Arial" w:hAnsi="Arial" w:cs="Arial"/>
                <w:iCs/>
                <w:sz w:val="20"/>
              </w:rPr>
              <w:t>kepada</w:t>
            </w:r>
            <w:proofErr w:type="spellEnd"/>
            <w:r w:rsidRPr="00AD5FA8">
              <w:rPr>
                <w:rFonts w:ascii="Arial" w:eastAsia="Arial" w:hAnsi="Arial" w:cs="Arial"/>
                <w:iCs/>
                <w:sz w:val="20"/>
              </w:rPr>
              <w:t xml:space="preserve"> PEMUDAH</w:t>
            </w:r>
            <w:r>
              <w:rPr>
                <w:rFonts w:ascii="Arial" w:eastAsia="Arial" w:hAnsi="Arial" w:cs="Arial"/>
                <w:iCs/>
                <w:sz w:val="20"/>
              </w:rPr>
              <w:t xml:space="preserve"> dan STAR</w:t>
            </w:r>
          </w:p>
        </w:tc>
        <w:tc>
          <w:tcPr>
            <w:tcW w:w="822" w:type="dxa"/>
          </w:tcPr>
          <w:p w14:paraId="7B9F3ABF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42" w:type="dxa"/>
          </w:tcPr>
          <w:p w14:paraId="269D9A37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93" w:type="dxa"/>
          </w:tcPr>
          <w:p w14:paraId="0731E7F5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  <w:tc>
          <w:tcPr>
            <w:tcW w:w="805" w:type="dxa"/>
            <w:shd w:val="clear" w:color="auto" w:fill="FFE599" w:themeFill="accent4" w:themeFillTint="66"/>
          </w:tcPr>
          <w:p w14:paraId="209C496B" w14:textId="77777777" w:rsidR="00AB4FA8" w:rsidRDefault="00AB4FA8" w:rsidP="002D0888">
            <w:pPr>
              <w:rPr>
                <w:rFonts w:ascii="Arial" w:eastAsia="Arial" w:hAnsi="Arial" w:cs="Arial"/>
                <w:i/>
                <w:sz w:val="20"/>
              </w:rPr>
            </w:pPr>
          </w:p>
        </w:tc>
      </w:tr>
    </w:tbl>
    <w:p w14:paraId="0ECED167" w14:textId="77777777" w:rsidR="00AB4FA8" w:rsidRDefault="00AB4FA8" w:rsidP="00AB4FA8">
      <w:pPr>
        <w:spacing w:after="0"/>
        <w:rPr>
          <w:rFonts w:ascii="Arial" w:eastAsia="Arial" w:hAnsi="Arial" w:cs="Arial"/>
          <w:b/>
          <w:bCs/>
          <w:iCs/>
          <w:sz w:val="20"/>
        </w:rPr>
      </w:pP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Perancangan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Aktiviti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Projek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Meningkatkan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Kecekapan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Urusan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Mendapatkan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Permit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Untuk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Ekspatriat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</w:t>
      </w:r>
      <w:proofErr w:type="spellStart"/>
      <w:r w:rsidRPr="00AD5FA8">
        <w:rPr>
          <w:rFonts w:ascii="Arial" w:eastAsia="Arial" w:hAnsi="Arial" w:cs="Arial"/>
          <w:b/>
          <w:bCs/>
          <w:iCs/>
          <w:sz w:val="20"/>
        </w:rPr>
        <w:t>Bekerja</w:t>
      </w:r>
      <w:proofErr w:type="spellEnd"/>
      <w:r w:rsidRPr="00AD5FA8">
        <w:rPr>
          <w:rFonts w:ascii="Arial" w:eastAsia="Arial" w:hAnsi="Arial" w:cs="Arial"/>
          <w:b/>
          <w:bCs/>
          <w:iCs/>
          <w:sz w:val="20"/>
        </w:rPr>
        <w:t xml:space="preserve"> Di Malaysia</w:t>
      </w:r>
    </w:p>
    <w:p w14:paraId="3315A376" w14:textId="77777777" w:rsidR="00072C95" w:rsidRDefault="00072C95"/>
    <w:sectPr w:rsidR="00072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A8"/>
    <w:rsid w:val="00072C95"/>
    <w:rsid w:val="00AB4FA8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929E"/>
  <w15:chartTrackingRefBased/>
  <w15:docId w15:val="{CB920CC0-5C4A-481A-8EFB-44B624A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A8"/>
    <w:rPr>
      <w:rFonts w:ascii="Calibri" w:eastAsia="Calibri" w:hAnsi="Calibri" w:cs="Calibri"/>
      <w:color w:val="000000"/>
      <w:kern w:val="0"/>
      <w:lang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F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Ammarah Basyirah Hashim</dc:creator>
  <cp:keywords/>
  <dc:description/>
  <cp:lastModifiedBy>Ummu Ammarah Basyirah Hashim</cp:lastModifiedBy>
  <cp:revision>1</cp:revision>
  <dcterms:created xsi:type="dcterms:W3CDTF">2023-03-02T01:18:00Z</dcterms:created>
  <dcterms:modified xsi:type="dcterms:W3CDTF">2023-03-02T01:19:00Z</dcterms:modified>
</cp:coreProperties>
</file>